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8A0" w:rsidRDefault="00DF08A0" w:rsidP="00DF08A0">
      <w:pPr>
        <w:pStyle w:val="Bezproreda"/>
      </w:pPr>
      <w:r>
        <w:object w:dxaOrig="1748" w:dyaOrig="2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o:ole="">
            <v:imagedata r:id="rId6" o:title=""/>
          </v:shape>
          <o:OLEObject Type="Embed" ProgID="CorelDRAW.Graphic.13" ShapeID="_x0000_i1025" DrawAspect="Content" ObjectID="_1752320768" r:id="rId7"/>
        </w:object>
      </w:r>
    </w:p>
    <w:p w:rsidR="00DF08A0" w:rsidRPr="00DF08A0" w:rsidRDefault="00DF08A0" w:rsidP="00DF08A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F08A0">
        <w:rPr>
          <w:rFonts w:ascii="Times New Roman" w:hAnsi="Times New Roman" w:cs="Times New Roman"/>
          <w:b/>
          <w:sz w:val="28"/>
          <w:szCs w:val="28"/>
        </w:rPr>
        <w:t>DOM ZA STARIJE I NEMOĆNE OSOBE VARAŽDIN</w:t>
      </w:r>
    </w:p>
    <w:p w:rsidR="00DF08A0" w:rsidRPr="00DF08A0" w:rsidRDefault="00DF08A0" w:rsidP="00DF08A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F08A0">
        <w:rPr>
          <w:rFonts w:ascii="Times New Roman" w:hAnsi="Times New Roman" w:cs="Times New Roman"/>
          <w:sz w:val="28"/>
          <w:szCs w:val="28"/>
        </w:rPr>
        <w:t>Zavojna 6, 42000 Varaždin</w:t>
      </w: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18" w:rsidRDefault="00F74418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1A" w:rsidRDefault="0084251A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1A" w:rsidRPr="009428C0" w:rsidRDefault="0084251A" w:rsidP="009818E1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DF08A0" w:rsidRPr="00F74418" w:rsidRDefault="009818E1" w:rsidP="002B7BDE">
      <w:pPr>
        <w:pStyle w:val="Odlomakpopisa"/>
        <w:spacing w:after="120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POLUGODIŠNJI</w:t>
      </w:r>
      <w:r w:rsidR="002B7BDE">
        <w:rPr>
          <w:rFonts w:ascii="Times New Roman" w:hAnsi="Times New Roman" w:cs="Times New Roman"/>
          <w:b/>
          <w:sz w:val="48"/>
          <w:szCs w:val="48"/>
        </w:rPr>
        <w:t xml:space="preserve"> IZVJEŠTAJ O IZVRŠENJU </w:t>
      </w:r>
      <w:r w:rsidR="00F74418">
        <w:rPr>
          <w:rFonts w:ascii="Times New Roman" w:hAnsi="Times New Roman" w:cs="Times New Roman"/>
          <w:b/>
          <w:sz w:val="48"/>
          <w:szCs w:val="48"/>
        </w:rPr>
        <w:t>FINANCIJSKOG</w:t>
      </w:r>
      <w:r w:rsidR="00DF08A0" w:rsidRPr="00F74418">
        <w:rPr>
          <w:rFonts w:ascii="Times New Roman" w:hAnsi="Times New Roman" w:cs="Times New Roman"/>
          <w:b/>
          <w:sz w:val="48"/>
          <w:szCs w:val="48"/>
        </w:rPr>
        <w:t xml:space="preserve"> PLAN</w:t>
      </w:r>
      <w:r w:rsidR="00F74418">
        <w:rPr>
          <w:rFonts w:ascii="Times New Roman" w:hAnsi="Times New Roman" w:cs="Times New Roman"/>
          <w:b/>
          <w:sz w:val="48"/>
          <w:szCs w:val="48"/>
        </w:rPr>
        <w:t>A</w:t>
      </w:r>
    </w:p>
    <w:p w:rsidR="00F74418" w:rsidRDefault="00DF08A0" w:rsidP="00F74418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125F">
        <w:rPr>
          <w:rFonts w:ascii="Times New Roman" w:hAnsi="Times New Roman" w:cs="Times New Roman"/>
          <w:b/>
          <w:sz w:val="48"/>
          <w:szCs w:val="48"/>
        </w:rPr>
        <w:t>DOMA ZA ST</w:t>
      </w:r>
      <w:r w:rsidR="0074125F" w:rsidRPr="0074125F">
        <w:rPr>
          <w:rFonts w:ascii="Times New Roman" w:hAnsi="Times New Roman" w:cs="Times New Roman"/>
          <w:b/>
          <w:sz w:val="48"/>
          <w:szCs w:val="48"/>
        </w:rPr>
        <w:t xml:space="preserve">ARIJE I NEMOĆNE OSOBE VARAŽDIN </w:t>
      </w:r>
    </w:p>
    <w:p w:rsidR="0074125F" w:rsidRPr="0074125F" w:rsidRDefault="00DF08A0" w:rsidP="00F74418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125F">
        <w:rPr>
          <w:rFonts w:ascii="Times New Roman" w:hAnsi="Times New Roman" w:cs="Times New Roman"/>
          <w:b/>
          <w:sz w:val="48"/>
          <w:szCs w:val="48"/>
        </w:rPr>
        <w:t>ZA 2023. GODINU</w:t>
      </w:r>
    </w:p>
    <w:p w:rsidR="0074125F" w:rsidRPr="0074125F" w:rsidRDefault="00F74418" w:rsidP="0074125F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DF08A0" w:rsidSect="00DF08A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F48F6" w:rsidRDefault="00D01139" w:rsidP="00C551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01139">
        <w:rPr>
          <w:rFonts w:ascii="Times New Roman" w:hAnsi="Times New Roman" w:cs="Times New Roman"/>
          <w:sz w:val="24"/>
          <w:szCs w:val="24"/>
        </w:rPr>
        <w:t>Temeljem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401">
        <w:rPr>
          <w:rFonts w:ascii="Times New Roman" w:hAnsi="Times New Roman" w:cs="Times New Roman"/>
          <w:sz w:val="24"/>
          <w:szCs w:val="24"/>
        </w:rPr>
        <w:t xml:space="preserve">odredbi </w:t>
      </w:r>
      <w:r w:rsidR="000C7FA9" w:rsidRPr="007F4401">
        <w:rPr>
          <w:rFonts w:ascii="Times New Roman" w:hAnsi="Times New Roman" w:cs="Times New Roman"/>
          <w:sz w:val="24"/>
          <w:szCs w:val="24"/>
        </w:rPr>
        <w:t xml:space="preserve">članka 86. </w:t>
      </w:r>
      <w:r w:rsidRPr="007F4401">
        <w:rPr>
          <w:rFonts w:ascii="Times New Roman" w:hAnsi="Times New Roman" w:cs="Times New Roman"/>
          <w:sz w:val="24"/>
          <w:szCs w:val="24"/>
        </w:rPr>
        <w:t xml:space="preserve">Zakona </w:t>
      </w:r>
      <w:r>
        <w:rPr>
          <w:rFonts w:ascii="Times New Roman" w:hAnsi="Times New Roman" w:cs="Times New Roman"/>
          <w:sz w:val="24"/>
          <w:szCs w:val="24"/>
        </w:rPr>
        <w:t>o proračunu (NN 144/21)</w:t>
      </w:r>
      <w:r w:rsidR="000C7FA9">
        <w:rPr>
          <w:rFonts w:ascii="Times New Roman" w:hAnsi="Times New Roman" w:cs="Times New Roman"/>
          <w:sz w:val="24"/>
          <w:szCs w:val="24"/>
        </w:rPr>
        <w:t xml:space="preserve">, </w:t>
      </w:r>
      <w:r w:rsidR="000C7FA9" w:rsidRPr="009818E1">
        <w:rPr>
          <w:rFonts w:ascii="Times New Roman" w:hAnsi="Times New Roman" w:cs="Times New Roman"/>
          <w:sz w:val="24"/>
          <w:szCs w:val="24"/>
        </w:rPr>
        <w:t xml:space="preserve">članka 4. Pravilnika </w:t>
      </w:r>
      <w:r w:rsidR="000C7FA9">
        <w:rPr>
          <w:rFonts w:ascii="Times New Roman" w:hAnsi="Times New Roman" w:cs="Times New Roman"/>
          <w:sz w:val="24"/>
          <w:szCs w:val="24"/>
        </w:rPr>
        <w:t>o polugodišnjem i godišnjem izvještaju o izvršenju pror</w:t>
      </w:r>
      <w:r w:rsidR="00AA24A3">
        <w:rPr>
          <w:rFonts w:ascii="Times New Roman" w:hAnsi="Times New Roman" w:cs="Times New Roman"/>
          <w:sz w:val="24"/>
          <w:szCs w:val="24"/>
        </w:rPr>
        <w:t xml:space="preserve">ačuna (NN </w:t>
      </w:r>
      <w:r w:rsidR="00AD1DD0">
        <w:rPr>
          <w:rFonts w:ascii="Times New Roman" w:hAnsi="Times New Roman" w:cs="Times New Roman"/>
          <w:sz w:val="24"/>
          <w:szCs w:val="24"/>
        </w:rPr>
        <w:t>85/23</w:t>
      </w:r>
      <w:r w:rsidR="000C7FA9">
        <w:rPr>
          <w:rFonts w:ascii="Times New Roman" w:hAnsi="Times New Roman" w:cs="Times New Roman"/>
          <w:sz w:val="24"/>
          <w:szCs w:val="24"/>
        </w:rPr>
        <w:t>), članka 25. Odluke o izvršavanju Proračuna Varaždinske županije za 2023. godinu (Službeni vjesnik Varaždinske županije br. 110/22)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D50C3" w:rsidRPr="005D50C3">
        <w:rPr>
          <w:rFonts w:ascii="Times New Roman" w:hAnsi="Times New Roman" w:cs="Times New Roman"/>
          <w:sz w:val="24"/>
          <w:szCs w:val="24"/>
        </w:rPr>
        <w:t>članka 29</w:t>
      </w:r>
      <w:r w:rsidRPr="005D50C3">
        <w:rPr>
          <w:rFonts w:ascii="Times New Roman" w:hAnsi="Times New Roman" w:cs="Times New Roman"/>
          <w:sz w:val="24"/>
          <w:szCs w:val="24"/>
        </w:rPr>
        <w:t>. Statuta Doma za starije i nemoćn</w:t>
      </w:r>
      <w:r w:rsidR="005D50C3" w:rsidRPr="005D50C3">
        <w:rPr>
          <w:rFonts w:ascii="Times New Roman" w:hAnsi="Times New Roman" w:cs="Times New Roman"/>
          <w:sz w:val="24"/>
          <w:szCs w:val="24"/>
        </w:rPr>
        <w:t>e osobe Varaždin (URBROJ: 2186-1-25/01-23/36-16-1</w:t>
      </w:r>
      <w:r w:rsidRPr="005D50C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Upravno vij</w:t>
      </w:r>
      <w:r w:rsidR="000248C2">
        <w:rPr>
          <w:rFonts w:ascii="Times New Roman" w:hAnsi="Times New Roman" w:cs="Times New Roman"/>
          <w:sz w:val="24"/>
          <w:szCs w:val="24"/>
        </w:rPr>
        <w:t xml:space="preserve">eće na sjednici održanoj </w:t>
      </w:r>
      <w:r w:rsidR="000248C2" w:rsidRPr="007F4401">
        <w:rPr>
          <w:rFonts w:ascii="Times New Roman" w:hAnsi="Times New Roman" w:cs="Times New Roman"/>
          <w:sz w:val="24"/>
          <w:szCs w:val="24"/>
        </w:rPr>
        <w:t>dana 28.07.2023</w:t>
      </w:r>
      <w:r w:rsidRPr="007F4401">
        <w:rPr>
          <w:rFonts w:ascii="Times New Roman" w:hAnsi="Times New Roman" w:cs="Times New Roman"/>
          <w:sz w:val="24"/>
          <w:szCs w:val="24"/>
        </w:rPr>
        <w:t>. godine donosi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48C2" w:rsidRDefault="000C7FA9" w:rsidP="000C7FA9">
      <w:pPr>
        <w:pStyle w:val="Odlomakpopisa"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Polugodišnji izvještaj o izvršenju Financijskog plana</w:t>
      </w:r>
    </w:p>
    <w:p w:rsidR="00BF48F6" w:rsidRDefault="00D2383D" w:rsidP="00AA6927">
      <w:pPr>
        <w:pStyle w:val="Odlomakpopisa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C2">
        <w:rPr>
          <w:rFonts w:ascii="Times New Roman" w:hAnsi="Times New Roman" w:cs="Times New Roman"/>
          <w:b/>
          <w:sz w:val="24"/>
          <w:szCs w:val="24"/>
        </w:rPr>
        <w:t xml:space="preserve">Doma za starije i nemoćne osobe Varaždin za 2023. </w:t>
      </w:r>
      <w:r w:rsidR="00AA6927">
        <w:rPr>
          <w:rFonts w:ascii="Times New Roman" w:hAnsi="Times New Roman" w:cs="Times New Roman"/>
          <w:b/>
          <w:sz w:val="24"/>
          <w:szCs w:val="24"/>
        </w:rPr>
        <w:t>g</w:t>
      </w:r>
      <w:r w:rsidRPr="000248C2">
        <w:rPr>
          <w:rFonts w:ascii="Times New Roman" w:hAnsi="Times New Roman" w:cs="Times New Roman"/>
          <w:b/>
          <w:sz w:val="24"/>
          <w:szCs w:val="24"/>
        </w:rPr>
        <w:t>odinu</w:t>
      </w:r>
    </w:p>
    <w:p w:rsidR="00AA6927" w:rsidRDefault="00AA6927" w:rsidP="00AA6927">
      <w:pPr>
        <w:pStyle w:val="Odlomakpopisa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18" w:rsidRPr="00AA6927" w:rsidRDefault="00BF48F6" w:rsidP="00AA6927">
      <w:pPr>
        <w:pStyle w:val="Odlomakpopisa"/>
        <w:numPr>
          <w:ilvl w:val="0"/>
          <w:numId w:val="11"/>
        </w:numPr>
        <w:spacing w:after="120"/>
        <w:ind w:left="709" w:hanging="49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C65C36" w:rsidRDefault="00BF48F6" w:rsidP="00C5513D">
      <w:pPr>
        <w:pStyle w:val="Odlomakpopisa"/>
        <w:spacing w:after="0"/>
        <w:ind w:left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F48F6">
        <w:rPr>
          <w:rFonts w:ascii="Times New Roman" w:hAnsi="Times New Roman" w:cs="Times New Roman"/>
          <w:sz w:val="24"/>
          <w:szCs w:val="24"/>
        </w:rPr>
        <w:t>Članak 1.</w:t>
      </w:r>
    </w:p>
    <w:p w:rsidR="00C65C36" w:rsidRDefault="00D14E8F" w:rsidP="00D14E8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Sažetak </w:t>
      </w:r>
      <w:r w:rsidR="00A31B73">
        <w:rPr>
          <w:rFonts w:ascii="Times New Roman" w:hAnsi="Times New Roman" w:cs="Times New Roman"/>
          <w:sz w:val="24"/>
          <w:szCs w:val="24"/>
        </w:rPr>
        <w:t>Općeg dijela Polugodišnjeg izvještaja o izvršenju</w:t>
      </w:r>
      <w:r w:rsidR="0029083A" w:rsidRPr="00D14E8F">
        <w:rPr>
          <w:rFonts w:ascii="Times New Roman" w:hAnsi="Times New Roman" w:cs="Times New Roman"/>
          <w:sz w:val="24"/>
          <w:szCs w:val="24"/>
        </w:rPr>
        <w:t xml:space="preserve"> Financijskog</w:t>
      </w:r>
      <w:r w:rsidR="00C65C36" w:rsidRPr="00D14E8F">
        <w:rPr>
          <w:rFonts w:ascii="Times New Roman" w:hAnsi="Times New Roman" w:cs="Times New Roman"/>
          <w:sz w:val="24"/>
          <w:szCs w:val="24"/>
        </w:rPr>
        <w:t xml:space="preserve"> plan</w:t>
      </w:r>
      <w:r w:rsidR="0029083A" w:rsidRPr="00D14E8F">
        <w:rPr>
          <w:rFonts w:ascii="Times New Roman" w:hAnsi="Times New Roman" w:cs="Times New Roman"/>
          <w:sz w:val="24"/>
          <w:szCs w:val="24"/>
        </w:rPr>
        <w:t>a</w:t>
      </w:r>
      <w:r w:rsidR="00C65C36" w:rsidRPr="00D14E8F">
        <w:rPr>
          <w:rFonts w:ascii="Times New Roman" w:hAnsi="Times New Roman" w:cs="Times New Roman"/>
          <w:sz w:val="24"/>
          <w:szCs w:val="24"/>
        </w:rPr>
        <w:t xml:space="preserve"> Doma za s</w:t>
      </w:r>
      <w:r w:rsidR="0029083A" w:rsidRPr="00D14E8F">
        <w:rPr>
          <w:rFonts w:ascii="Times New Roman" w:hAnsi="Times New Roman" w:cs="Times New Roman"/>
          <w:sz w:val="24"/>
          <w:szCs w:val="24"/>
        </w:rPr>
        <w:t>tarije i nemoćne osobe Varaždin</w:t>
      </w:r>
      <w:r w:rsidR="00C65C36" w:rsidRPr="00D14E8F">
        <w:rPr>
          <w:rFonts w:ascii="Times New Roman" w:hAnsi="Times New Roman" w:cs="Times New Roman"/>
          <w:sz w:val="24"/>
          <w:szCs w:val="24"/>
        </w:rPr>
        <w:t xml:space="preserve"> za 2023. </w:t>
      </w:r>
      <w:r w:rsidR="00E16B18" w:rsidRPr="00D14E8F">
        <w:rPr>
          <w:rFonts w:ascii="Times New Roman" w:hAnsi="Times New Roman" w:cs="Times New Roman"/>
          <w:sz w:val="24"/>
          <w:szCs w:val="24"/>
        </w:rPr>
        <w:t>g</w:t>
      </w:r>
      <w:r w:rsidR="00C5513D">
        <w:rPr>
          <w:rFonts w:ascii="Times New Roman" w:hAnsi="Times New Roman" w:cs="Times New Roman"/>
          <w:sz w:val="24"/>
          <w:szCs w:val="24"/>
        </w:rPr>
        <w:t xml:space="preserve">odinu izgleda kako slijedi: </w:t>
      </w:r>
    </w:p>
    <w:p w:rsidR="00BB15AC" w:rsidRPr="0044282C" w:rsidRDefault="00C5513D" w:rsidP="0044282C">
      <w:pPr>
        <w:tabs>
          <w:tab w:val="left" w:pos="1427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5513D">
        <w:rPr>
          <w:noProof/>
          <w:lang w:eastAsia="hr-HR"/>
        </w:rPr>
        <w:drawing>
          <wp:inline distT="0" distB="0" distL="0" distR="0" wp14:anchorId="66E6D5DC" wp14:editId="40A73A07">
            <wp:extent cx="8891270" cy="4083661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08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3C" w:rsidRDefault="00C2703C" w:rsidP="006175C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2703C">
        <w:rPr>
          <w:rFonts w:ascii="Times New Roman" w:hAnsi="Times New Roman" w:cs="Times New Roman"/>
          <w:sz w:val="24"/>
          <w:szCs w:val="24"/>
        </w:rPr>
        <w:lastRenderedPageBreak/>
        <w:t>Članak 2.</w:t>
      </w:r>
    </w:p>
    <w:p w:rsidR="006175CA" w:rsidRDefault="006175CA" w:rsidP="00BB15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rashodi te</w:t>
      </w:r>
      <w:r w:rsidR="004C44CD">
        <w:rPr>
          <w:rFonts w:ascii="Times New Roman" w:hAnsi="Times New Roman" w:cs="Times New Roman"/>
          <w:sz w:val="24"/>
          <w:szCs w:val="24"/>
        </w:rPr>
        <w:t xml:space="preserve"> primici i</w:t>
      </w:r>
      <w:r>
        <w:rPr>
          <w:rFonts w:ascii="Times New Roman" w:hAnsi="Times New Roman" w:cs="Times New Roman"/>
          <w:sz w:val="24"/>
          <w:szCs w:val="24"/>
        </w:rPr>
        <w:t xml:space="preserve"> izdaci utvrđuju se u Računu prihoda i rashoda i Računu financiranja</w:t>
      </w:r>
      <w:r w:rsidR="007F7CF8">
        <w:rPr>
          <w:rFonts w:ascii="Times New Roman" w:hAnsi="Times New Roman" w:cs="Times New Roman"/>
          <w:sz w:val="24"/>
          <w:szCs w:val="24"/>
        </w:rPr>
        <w:t xml:space="preserve"> u Polugodišnjem izvještaju o izvršenju</w:t>
      </w:r>
      <w:r>
        <w:rPr>
          <w:rFonts w:ascii="Times New Roman" w:hAnsi="Times New Roman" w:cs="Times New Roman"/>
          <w:sz w:val="24"/>
          <w:szCs w:val="24"/>
        </w:rPr>
        <w:t xml:space="preserve"> Financijsk</w:t>
      </w:r>
      <w:r w:rsidR="005E3D5F">
        <w:rPr>
          <w:rFonts w:ascii="Times New Roman" w:hAnsi="Times New Roman" w:cs="Times New Roman"/>
          <w:sz w:val="24"/>
          <w:szCs w:val="24"/>
        </w:rPr>
        <w:t xml:space="preserve">og plana za 2023. godinu </w:t>
      </w:r>
      <w:r>
        <w:rPr>
          <w:rFonts w:ascii="Times New Roman" w:hAnsi="Times New Roman" w:cs="Times New Roman"/>
          <w:sz w:val="24"/>
          <w:szCs w:val="24"/>
        </w:rPr>
        <w:t>kako slijedi:</w:t>
      </w:r>
    </w:p>
    <w:tbl>
      <w:tblPr>
        <w:tblW w:w="13972" w:type="dxa"/>
        <w:tblInd w:w="93" w:type="dxa"/>
        <w:tblLook w:val="04A0" w:firstRow="1" w:lastRow="0" w:firstColumn="1" w:lastColumn="0" w:noHBand="0" w:noVBand="1"/>
      </w:tblPr>
      <w:tblGrid>
        <w:gridCol w:w="6819"/>
        <w:gridCol w:w="1434"/>
        <w:gridCol w:w="1266"/>
        <w:gridCol w:w="1266"/>
        <w:gridCol w:w="1434"/>
        <w:gridCol w:w="916"/>
        <w:gridCol w:w="911"/>
      </w:tblGrid>
      <w:tr w:rsidR="00437A4C" w:rsidRPr="00437A4C" w:rsidTr="00437A4C">
        <w:trPr>
          <w:trHeight w:val="31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 RAČUN PRIHODA I RASHODA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7A4C" w:rsidRPr="00437A4C" w:rsidTr="00437A4C">
        <w:trPr>
          <w:trHeight w:val="226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37A4C" w:rsidRPr="00437A4C" w:rsidTr="00437A4C">
        <w:trPr>
          <w:trHeight w:val="317"/>
        </w:trPr>
        <w:tc>
          <w:tcPr>
            <w:tcW w:w="13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Tablica 1. Prihodi i rashodi prema ekonomskoj klasifikaciji</w:t>
            </w:r>
          </w:p>
        </w:tc>
      </w:tr>
      <w:tr w:rsidR="00437A4C" w:rsidRPr="00437A4C" w:rsidTr="00437A4C">
        <w:trPr>
          <w:trHeight w:val="1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7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i naziv računa prihoda i rashoda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Izvorni plan </w:t>
            </w: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plan </w:t>
            </w: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%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 %</w:t>
            </w:r>
          </w:p>
        </w:tc>
      </w:tr>
      <w:tr w:rsidR="00437A4C" w:rsidRPr="00437A4C" w:rsidTr="00437A4C">
        <w:trPr>
          <w:trHeight w:val="2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437A4C" w:rsidRPr="00437A4C" w:rsidTr="00437A4C">
        <w:trPr>
          <w:trHeight w:val="3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1.242.880,96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3.104.120,00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3.104.120,00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1.533.885,75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49,4</w:t>
            </w:r>
          </w:p>
        </w:tc>
      </w:tr>
      <w:tr w:rsidR="00437A4C" w:rsidRPr="00437A4C" w:rsidTr="00437A4C">
        <w:trPr>
          <w:trHeight w:val="3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12.138,01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198,8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2.280,00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6341 Tekuće pomoći od proračunskih korisnika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2.280,00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6342 Kapitalne pomoći od izvanproračunskih korisnika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636 Pomoći proračunskim korisnic</w:t>
            </w:r>
            <w:r w:rsidR="006C2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 iz proračuna koji im nije nadležan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9.858,01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1.856,9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6361 Tekuće pomoći proračunskim korisnicma iz proračuna koji im nije nadležan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9.858,01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1.856,9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6362 Kapitalne pomoći proračunskim korisnicma iz proračuna koji im nije nadležan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1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2.789,82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40,8</w:t>
            </w:r>
          </w:p>
        </w:tc>
      </w:tr>
      <w:tr w:rsidR="00437A4C" w:rsidRPr="00437A4C" w:rsidTr="00437A4C">
        <w:trPr>
          <w:trHeight w:val="2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2.789,82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2.789,82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271,13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908.879,62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2.144.300,00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2.144.300,00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1.134.418,16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52,9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652 Prihodi po posebnim propisima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908.879,62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1.134.418,16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6526 Ostali nespomenuti prihodi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908.879,62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1.134.418,16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1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17.423,08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17.461,62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48,7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17.423,08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16.061,62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6614 Prihodi od prodaje proizvoda i robe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17.423,08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16.061,62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37A4C" w:rsidRPr="00437A4C" w:rsidTr="00437A4C">
        <w:trPr>
          <w:trHeight w:val="52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 Donacije od pravnih i fizičkih osoba izvan općeg proračuna i povrat donacija po protestiranim jamstvima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6631 Tekuće donacije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6632 Kapitalne donacije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313.257,55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917.215,00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917.215,00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369.596,83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40,3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313.257,55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369.596,83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313.257,55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352.712,14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6712 Prihodi iz nadležnog proračuna za financiranje rashoda za nabavu nefinancoijske imovine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16.884,69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6714 Prihodi iz nadležnog proračuna za financiranje izdataka za financijsku imovinu i otplatu zajmova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723 Prihodi od prodaje prijevoznih sredstava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7231 Prijevozna sredstva u cestovnom prometu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1.242.880,96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3.104.120,00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3.104.120,00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1.535.885,75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49,5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1.255.504,95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2.906.283,00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2.906.283,00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1.487.878,10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51,2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793.434,51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1.577.595,00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1.577.595,00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921.267,84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58,4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656.782,32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754.190,71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656.782,32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754.190,71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34.095,74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52.750,53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34.095,74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52.750,53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102.556,45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114.326,60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3131 Doprinosi za mirovinsko osiguranje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102.490,91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114.326,60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3133 Doprinosi za obvezno osiguranje u slučaju nezaposlenosti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1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454.231,67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1.311.718,00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1.311.718,00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558.366,00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42,6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43.724,12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53.166,09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42.459,46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51.847,15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1.131,94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1.318,94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116,5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304.959,48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355.868,02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23.784,25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29.281,83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142.817,40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204.579,20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129.609,29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110.205,06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5.876,62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5.317,11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191,32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1.191,38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2.680,60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5.293,44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94.994,59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136.027,05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3.734,54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3.927,83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37.276,64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56.477,42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2.172,13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3.047,16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41.521,36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46.314,55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1.982,51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8.561,09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5.038,28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4.349,32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2.937,82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11.510,50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1.839,18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10.553,48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13.304,84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3.570,03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4.016,52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412,21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1.242,89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494,72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17,58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1.587,72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3.538,89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1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7.321,15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13.920,00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13.920,00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5.917,83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42,5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342 Kamate za primljene kredite i zajmove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5.421,54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4.282,68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3422 Kamate za primljene kredite i zajmove od kreditnih i ostalih fin. institucija u javnom sektoru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3.488,06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2.487,38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3423 Kamate za primljene kredite i zajmove od kreditnih i ostalih fin. institucija izvan javnog sektora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1.933,48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1.795,30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1.899,61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1.635,15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1.885,40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1.558,63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3432 Negativne tečajne razlike i razlike zbog primjene valutne klauzule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14,21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76,52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3434 Ostali nespomenuti financijski rashodi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517,62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2.326,43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76,3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517,62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2.326,43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2.326,43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1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4.132,40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33.842,00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33.842,00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31.301,95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92,5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4.132,40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33.842,00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33.842,00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31.301,95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92,5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4.132,40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29.951,95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5.665,91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1.052,76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458,50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4224 Medicinska i laboratorijska oprema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232,13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23.425,10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10.091,4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4C" w:rsidRPr="00437A4C" w:rsidTr="00437A4C">
        <w:trPr>
          <w:trHeight w:val="2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1.259.637,35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2.940.125,00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2.940.125,00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1.519.180,05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A4C" w:rsidRPr="00437A4C" w:rsidRDefault="00437A4C" w:rsidP="0043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51,7</w:t>
            </w:r>
          </w:p>
        </w:tc>
      </w:tr>
    </w:tbl>
    <w:p w:rsidR="00A567A1" w:rsidRDefault="00A567A1" w:rsidP="00437A4C">
      <w:pPr>
        <w:spacing w:after="240"/>
        <w:rPr>
          <w:rFonts w:ascii="Times New Roman" w:hAnsi="Times New Roman" w:cs="Times New Roman"/>
          <w:color w:val="FF0000"/>
          <w:sz w:val="24"/>
          <w:szCs w:val="24"/>
        </w:rPr>
      </w:pPr>
    </w:p>
    <w:p w:rsidR="00A567A1" w:rsidRDefault="00A567A1" w:rsidP="00A567A1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128E" w:rsidRDefault="000D128E" w:rsidP="00A567A1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128E" w:rsidRDefault="000D128E" w:rsidP="00A567A1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128E" w:rsidRDefault="000D128E" w:rsidP="000D128E">
      <w:pPr>
        <w:spacing w:after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128E" w:rsidRDefault="000D128E" w:rsidP="00665356">
      <w:pPr>
        <w:spacing w:after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D1091" w:rsidRDefault="007D1091" w:rsidP="00A567A1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5720"/>
        <w:gridCol w:w="1600"/>
        <w:gridCol w:w="1540"/>
        <w:gridCol w:w="1500"/>
        <w:gridCol w:w="1520"/>
        <w:gridCol w:w="911"/>
        <w:gridCol w:w="911"/>
      </w:tblGrid>
      <w:tr w:rsidR="0043719F" w:rsidRPr="0043719F" w:rsidTr="0043719F">
        <w:trPr>
          <w:trHeight w:val="317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Tablica 2. Prihodi i rashodi prema izvorima financiranja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3719F" w:rsidRPr="0043719F" w:rsidTr="0043719F">
        <w:trPr>
          <w:trHeight w:val="789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i naziv izvora financiranja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01.01.-30.06.'22.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Izvorni plan </w:t>
            </w: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plan </w:t>
            </w: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01.01.-30.06.'23.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 %</w:t>
            </w:r>
          </w:p>
        </w:tc>
      </w:tr>
      <w:tr w:rsidR="0043719F" w:rsidRPr="0043719F" w:rsidTr="0043719F">
        <w:trPr>
          <w:trHeight w:val="226"/>
        </w:trPr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PO IZVORIMA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3719F" w:rsidRPr="0043719F" w:rsidTr="0043719F">
        <w:trPr>
          <w:trHeight w:val="3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37.087,93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331.806,00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331.806,00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85.786,14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25,9</w:t>
            </w:r>
          </w:p>
        </w:tc>
      </w:tr>
      <w:tr w:rsidR="0043719F" w:rsidRPr="0043719F" w:rsidTr="0043719F">
        <w:trPr>
          <w:trHeight w:val="31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37.087,93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331.806,00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331.806,00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85.786,14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25,9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3 VLASTITI PRIHODI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17.423,08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16.061,62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44,8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17.423,08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16.061,62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44,8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1.187.839,06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2.730.374,00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2.730.374,00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1.400.457,55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51,3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43 Ostali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911.669,44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2.144.965,00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2.144.965,00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1.116.646,86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52,1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44 Decentralizirana sredstva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276.169,62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585.409,00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585.409,00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283.810,69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48,5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12.138,01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2.286,4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198,8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51 Pomoći EU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52 Ostale pomoći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12.138,01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2.286,4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198,8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6 DONACIJE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52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7 PRIHODI OD NEFIN. IMOVINE I NADOKNADE ŠTETA S OSNOVA OSIGURANJA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20.042,43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71 Prihodi od nefinancijske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20.042,43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72 Prihodi od nadoknade šteta s osnova osiguranja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1.242.880,96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3.104.120,00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3.104.120,00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1.535.885,75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49,5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PO IZVORIMA FINANCIRANJA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37.087,93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185.811,00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185.811,00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31.853,20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85,9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17,1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37.087,93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185.811,00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185.811,00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31.853,20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17,1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3 VLASTITI PRIHODI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12.469,44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19.953,72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55,7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12.469,44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19.953,72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55,7</w:t>
            </w:r>
          </w:p>
        </w:tc>
      </w:tr>
      <w:tr w:rsidR="0043719F" w:rsidRPr="0043719F" w:rsidTr="0043719F">
        <w:trPr>
          <w:trHeight w:val="254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1.208.487,31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2.712.374,00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2.712.374,00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1.439.376,25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53,1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43 Ostali prihodi za posebne namjene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932.317,69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2.126.965,00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2.126.965,00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1.155.565,56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54,3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44 Decentralizirana sredstva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276.169,62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585.409,00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585.409,00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283.810,69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48,5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5 POMOĆI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6.554,45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107,4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51 Pomoći EU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52 Ostale pomoći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6.554,45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107,4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6 DONACIJE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526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7 PRIHODI OD NEFIN. IMOVINE I NADOKNADE ŠTETA S OSNOVA OSIGURANJA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20.042,43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71 Prihodi od nefinancijske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20.042,43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72 Prihodi od nadoknade šteta s osnova osiguranja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8 NAMJENSKI PRIMICI OD ZADUŽIVANJA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81 Namjenski primici od zaduživanja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19F" w:rsidRPr="0043719F" w:rsidTr="0043719F">
        <w:trPr>
          <w:trHeight w:val="26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1.259.637,35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2.940.125,00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2.940.125,00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1.519.180,05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3719F" w:rsidRPr="0043719F" w:rsidRDefault="0043719F" w:rsidP="00437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51,7</w:t>
            </w:r>
          </w:p>
        </w:tc>
      </w:tr>
    </w:tbl>
    <w:p w:rsidR="007D1091" w:rsidRDefault="007D1091" w:rsidP="0043719F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774" w:rsidRPr="00A567A1" w:rsidRDefault="006A0774" w:rsidP="0043719F">
      <w:pPr>
        <w:spacing w:after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67A1" w:rsidRPr="00BB15AC" w:rsidRDefault="006A0774" w:rsidP="006A07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A0774">
        <w:rPr>
          <w:noProof/>
          <w:lang w:eastAsia="hr-HR"/>
        </w:rPr>
        <w:drawing>
          <wp:inline distT="0" distB="0" distL="0" distR="0">
            <wp:extent cx="8778240" cy="231383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658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FB" w:rsidRDefault="005F38FB" w:rsidP="006175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4E8F" w:rsidRDefault="00C94E8F" w:rsidP="006175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4E8F" w:rsidRDefault="00C94E8F" w:rsidP="006175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4E8F" w:rsidRDefault="00C94E8F" w:rsidP="006175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4E8F" w:rsidRPr="00C2703C" w:rsidRDefault="00C94E8F" w:rsidP="0066535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08A0" w:rsidRDefault="00DF08A0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55720" w:rsidRDefault="00B55720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9" w:type="dxa"/>
        <w:tblInd w:w="93" w:type="dxa"/>
        <w:tblLook w:val="04A0" w:firstRow="1" w:lastRow="0" w:firstColumn="1" w:lastColumn="0" w:noHBand="0" w:noVBand="1"/>
      </w:tblPr>
      <w:tblGrid>
        <w:gridCol w:w="6305"/>
        <w:gridCol w:w="1889"/>
        <w:gridCol w:w="1177"/>
        <w:gridCol w:w="1116"/>
        <w:gridCol w:w="1889"/>
        <w:gridCol w:w="911"/>
        <w:gridCol w:w="911"/>
      </w:tblGrid>
      <w:tr w:rsidR="00395DA2" w:rsidRPr="00395DA2" w:rsidTr="00395DA2">
        <w:trPr>
          <w:trHeight w:val="313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B. RAČUN FINANCIRANJA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DA2" w:rsidRPr="00395DA2" w:rsidTr="00395DA2">
        <w:trPr>
          <w:trHeight w:val="263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95DA2" w:rsidRPr="00395DA2" w:rsidTr="00395DA2">
        <w:trPr>
          <w:trHeight w:val="313"/>
        </w:trPr>
        <w:tc>
          <w:tcPr>
            <w:tcW w:w="14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Tablica 4. Račun financiranja prema ekonomskoj klasifikaciji</w:t>
            </w:r>
          </w:p>
        </w:tc>
      </w:tr>
      <w:tr w:rsidR="00395DA2" w:rsidRPr="00395DA2" w:rsidTr="00395DA2">
        <w:trPr>
          <w:trHeight w:val="254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95DA2" w:rsidRPr="00395DA2" w:rsidTr="00395DA2">
        <w:trPr>
          <w:trHeight w:val="526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i naziv računa primitaka i izdataka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01.01.-30.06.'22.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Izvorni plan </w:t>
            </w: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plan </w:t>
            </w: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01.01.-30.06.'23.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 %</w:t>
            </w:r>
          </w:p>
        </w:tc>
      </w:tr>
      <w:tr w:rsidR="00395DA2" w:rsidRPr="00395DA2" w:rsidTr="00395DA2">
        <w:trPr>
          <w:trHeight w:val="226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395DA2" w:rsidRPr="00395DA2" w:rsidTr="00395DA2">
        <w:trPr>
          <w:trHeight w:val="263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395DA2" w:rsidRPr="00395DA2" w:rsidTr="00395DA2">
        <w:trPr>
          <w:trHeight w:val="313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 Primici od zaduživanja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526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842 Primljeni krediti i zajmovi od kreditnih i ostalih financijskih institucija u javnom sektoru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263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8422 Primljeni krediti od kreditnih institucija u javnom sektoru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511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263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8443 Primljeni krediti od tuzemnih kreditnih institucija izvan javnog sektora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254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95DA2" w:rsidRPr="00395DA2" w:rsidTr="00395DA2">
        <w:trPr>
          <w:trHeight w:val="254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PRIMICI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254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95DA2" w:rsidRPr="00395DA2" w:rsidTr="00395DA2">
        <w:trPr>
          <w:trHeight w:val="254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263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39.633,84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53.932,94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136,1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36,9</w:t>
            </w:r>
          </w:p>
        </w:tc>
      </w:tr>
      <w:tr w:rsidR="00395DA2" w:rsidRPr="00395DA2" w:rsidTr="00395DA2">
        <w:trPr>
          <w:trHeight w:val="511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542 Otplata glavnice primljenih kredita i zajmova od kreditnih i ostalih financijskih institucija u javnom sektoru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27.053,58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41.371,22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263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27.053,58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41.371,22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511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12.580,26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12.561,72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263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12.580,26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12.561,72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526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5445 Otplata glavnice primljenih zajmova od ostalih tuzemnih financijskih institucija izvan javnog sektora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395DA2" w:rsidRPr="00395DA2" w:rsidTr="00395DA2">
        <w:trPr>
          <w:trHeight w:val="254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95DA2" w:rsidRPr="00395DA2" w:rsidTr="00395DA2">
        <w:trPr>
          <w:trHeight w:val="254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IZDACI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39.633,84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53.932,94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95DA2" w:rsidRPr="00395DA2" w:rsidRDefault="00395DA2" w:rsidP="00395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9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36,9</w:t>
            </w:r>
          </w:p>
        </w:tc>
      </w:tr>
    </w:tbl>
    <w:p w:rsidR="00B55720" w:rsidRDefault="00B55720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55720" w:rsidRDefault="00B55720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55720" w:rsidRDefault="00B55720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11" w:type="dxa"/>
        <w:tblInd w:w="93" w:type="dxa"/>
        <w:tblLook w:val="04A0" w:firstRow="1" w:lastRow="0" w:firstColumn="1" w:lastColumn="0" w:noHBand="0" w:noVBand="1"/>
      </w:tblPr>
      <w:tblGrid>
        <w:gridCol w:w="4820"/>
        <w:gridCol w:w="1920"/>
        <w:gridCol w:w="1213"/>
        <w:gridCol w:w="1231"/>
        <w:gridCol w:w="1920"/>
        <w:gridCol w:w="1102"/>
        <w:gridCol w:w="1205"/>
      </w:tblGrid>
      <w:tr w:rsidR="006936F7" w:rsidRPr="006936F7" w:rsidTr="006936F7">
        <w:trPr>
          <w:trHeight w:val="313"/>
        </w:trPr>
        <w:tc>
          <w:tcPr>
            <w:tcW w:w="13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Tablica 5. Račun financiranja prema izvorima financiranja</w:t>
            </w:r>
          </w:p>
        </w:tc>
      </w:tr>
      <w:tr w:rsidR="006936F7" w:rsidRPr="006936F7" w:rsidTr="006936F7">
        <w:trPr>
          <w:trHeight w:val="2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936F7" w:rsidRPr="006936F7" w:rsidTr="006936F7">
        <w:trPr>
          <w:trHeight w:val="5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i naziv izvora financiranja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01.01.-30.06.'22.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Izvorni plan </w:t>
            </w: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Tekući plan </w:t>
            </w: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01.01.-30.06.'23.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 %</w:t>
            </w:r>
          </w:p>
        </w:tc>
      </w:tr>
      <w:tr w:rsidR="006936F7" w:rsidRPr="006936F7" w:rsidTr="006936F7">
        <w:trPr>
          <w:trHeight w:val="2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6936F7" w:rsidRPr="006936F7" w:rsidTr="006936F7">
        <w:trPr>
          <w:trHeight w:val="3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PRIMICI PO IZVORIMA FINANCIRANJA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6936F7" w:rsidRPr="006936F7" w:rsidTr="006936F7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3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43 Ostali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5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8 NAMJENSKI PRIMICI OD ZADUŽIVANJA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81 Namjenski primici od zaduživanja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936F7" w:rsidRPr="006936F7" w:rsidTr="006936F7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PRIMICI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936F7" w:rsidRPr="006936F7" w:rsidTr="006936F7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IZDACI PO IZVORIMA FINANCIRANJA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936F7" w:rsidRPr="006936F7" w:rsidTr="006936F7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1 OPĆI PRIHODI I PRIMICI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53.932,94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36,9</w:t>
            </w:r>
          </w:p>
        </w:tc>
      </w:tr>
      <w:tr w:rsidR="006936F7" w:rsidRPr="006936F7" w:rsidTr="006936F7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53.932,94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36,9</w:t>
            </w:r>
          </w:p>
        </w:tc>
      </w:tr>
      <w:tr w:rsidR="006936F7" w:rsidRPr="006936F7" w:rsidTr="006936F7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Izvor: 4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39.633,84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43 Ostali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39.633,84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Izvor: 44 Decentralizirana sredstva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6936F7" w:rsidRPr="006936F7" w:rsidTr="006936F7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936F7" w:rsidRPr="006936F7" w:rsidTr="006936F7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SVEUKUPNO IZDACI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39.633,84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53.932,94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936F7" w:rsidRPr="006936F7" w:rsidRDefault="006936F7" w:rsidP="006936F7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93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36,9</w:t>
            </w:r>
          </w:p>
        </w:tc>
      </w:tr>
    </w:tbl>
    <w:p w:rsidR="00B55720" w:rsidRDefault="00B55720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55720" w:rsidRDefault="00B55720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55720" w:rsidRDefault="00B55720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A1839" w:rsidRDefault="004A1839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A1839" w:rsidRDefault="004A1839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A1839" w:rsidRDefault="004A1839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A1839" w:rsidRDefault="004A1839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55720" w:rsidRDefault="00B55720" w:rsidP="000E568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F08A0" w:rsidRPr="00580EF7" w:rsidRDefault="000E568E" w:rsidP="000248C2">
      <w:pPr>
        <w:pStyle w:val="Odlomakpopisa"/>
        <w:numPr>
          <w:ilvl w:val="0"/>
          <w:numId w:val="11"/>
        </w:numPr>
        <w:spacing w:after="120"/>
        <w:ind w:left="709" w:hanging="35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F7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0E568E" w:rsidRDefault="000E568E" w:rsidP="00580EF7">
      <w:pPr>
        <w:pStyle w:val="Odlomakpopisa"/>
        <w:spacing w:after="12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0E568E">
        <w:rPr>
          <w:rFonts w:ascii="Times New Roman" w:hAnsi="Times New Roman" w:cs="Times New Roman"/>
          <w:sz w:val="24"/>
          <w:szCs w:val="24"/>
        </w:rPr>
        <w:t>Članak 3.</w:t>
      </w:r>
    </w:p>
    <w:p w:rsidR="000E568E" w:rsidRDefault="000E568E" w:rsidP="000E568E">
      <w:pPr>
        <w:pStyle w:val="Odlomakpopisa"/>
        <w:spacing w:after="12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E568E" w:rsidRDefault="000E568E" w:rsidP="000E568E">
      <w:pPr>
        <w:pStyle w:val="Odlomakpopis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AC705D">
        <w:rPr>
          <w:rFonts w:ascii="Times New Roman" w:hAnsi="Times New Roman" w:cs="Times New Roman"/>
          <w:sz w:val="24"/>
          <w:szCs w:val="24"/>
        </w:rPr>
        <w:t>Polugodišnjeg izvještaja o izvršenju</w:t>
      </w:r>
      <w:r w:rsidR="00A5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Financijskog plana</w:t>
      </w:r>
      <w:r w:rsidR="00A567A1">
        <w:rPr>
          <w:rFonts w:ascii="Times New Roman" w:hAnsi="Times New Roman" w:cs="Times New Roman"/>
          <w:sz w:val="24"/>
          <w:szCs w:val="24"/>
        </w:rPr>
        <w:t xml:space="preserve"> za 2023. godinu</w:t>
      </w:r>
      <w:r>
        <w:rPr>
          <w:rFonts w:ascii="Times New Roman" w:hAnsi="Times New Roman" w:cs="Times New Roman"/>
          <w:sz w:val="24"/>
          <w:szCs w:val="24"/>
        </w:rPr>
        <w:t xml:space="preserve"> sastoji se od</w:t>
      </w:r>
      <w:r w:rsidR="00AC7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rashoda i izdataka iskazanih po organizacijskoj klasifikaciji</w:t>
      </w:r>
      <w:r w:rsidR="00B2305E">
        <w:rPr>
          <w:rFonts w:ascii="Times New Roman" w:hAnsi="Times New Roman" w:cs="Times New Roman"/>
          <w:sz w:val="24"/>
          <w:szCs w:val="24"/>
        </w:rPr>
        <w:t>, izvorima financiranja i ekonomskoj klasifikaciji, raspoređeni u program koji se sastoji od aktivnosti i projekata</w:t>
      </w:r>
      <w:r w:rsidR="00B55720">
        <w:rPr>
          <w:rFonts w:ascii="Times New Roman" w:hAnsi="Times New Roman" w:cs="Times New Roman"/>
          <w:sz w:val="24"/>
          <w:szCs w:val="24"/>
        </w:rPr>
        <w:t xml:space="preserve"> kako slijedi</w:t>
      </w:r>
      <w:r w:rsidR="00B2305E">
        <w:rPr>
          <w:rFonts w:ascii="Times New Roman" w:hAnsi="Times New Roman" w:cs="Times New Roman"/>
          <w:sz w:val="24"/>
          <w:szCs w:val="24"/>
        </w:rPr>
        <w:t>:</w:t>
      </w:r>
    </w:p>
    <w:p w:rsidR="00B2305E" w:rsidRPr="000E568E" w:rsidRDefault="00B2305E" w:rsidP="000E568E">
      <w:pPr>
        <w:pStyle w:val="Odlomakpopis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5820"/>
        <w:gridCol w:w="1920"/>
        <w:gridCol w:w="1320"/>
        <w:gridCol w:w="1480"/>
        <w:gridCol w:w="2000"/>
        <w:gridCol w:w="916"/>
        <w:gridCol w:w="911"/>
      </w:tblGrid>
      <w:tr w:rsidR="004364B5" w:rsidRPr="004364B5" w:rsidTr="004364B5">
        <w:trPr>
          <w:trHeight w:val="313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IZVRŠENJE PO ORGANIZACIJSKOJ I PROGRAMSKOJ KLASIFIKACIJI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4B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4B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4B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4B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4B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4B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364B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364B5" w:rsidRPr="004364B5" w:rsidTr="004364B5">
        <w:trPr>
          <w:trHeight w:val="52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Brojčana oznaka i naziv razdjela, glave, izvora financiranja, programa, aktivnosti i projekta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01.01.-30.06.'22.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Izvorni plan </w:t>
            </w: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2023.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 plan</w:t>
            </w: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 2023.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Ostvarenje / izvršenje </w:t>
            </w: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01.01.-30.06.'23.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%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Indeks </w:t>
            </w: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% </w:t>
            </w:r>
          </w:p>
        </w:tc>
      </w:tr>
      <w:tr w:rsidR="004364B5" w:rsidRPr="004364B5" w:rsidTr="004364B5">
        <w:trPr>
          <w:trHeight w:val="2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6=5/2*100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7=5/4*100</w:t>
            </w:r>
          </w:p>
        </w:tc>
      </w:tr>
      <w:tr w:rsidR="004364B5" w:rsidRPr="004364B5" w:rsidTr="004364B5">
        <w:trPr>
          <w:trHeight w:val="2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364B5" w:rsidRPr="004364B5" w:rsidTr="004364B5">
        <w:trPr>
          <w:trHeight w:val="539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Razdjel: 016 UPRAVNI ODJEL ZA ZDRAVSTVO, SOCIJALNU SKRB, CIVILNO DRUŠTVO I HRVATSKE BRANITELJE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1.299.271,20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3.086.120,00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3.086.120,00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1.573.112,99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121,08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50,97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Glava: 01603 SOCIJALNA SKRB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1.299.271,20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3.086.120,00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3.086.120,00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1.573.112,99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50,97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7874 DOM ZA STARIJE I NEMOĆNE OSOBE VARAŽDIN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1.299.271,20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3.086.120,00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3.086.120,00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1.573.112,99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50,97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37.087,93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331.806,00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331.806,00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85.786,14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25,85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12.469,44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19.953,72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55,68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Izvor: 43 Ostali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971.951,54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2.126.965,00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2.126.965,00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1.155.565,56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54,33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Izvor: 44 Decentralizirana sredstva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276.169,62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585.409,00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585.409,00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283.810,69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48,48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Izvor: 52 Ostale pomoći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6.554,45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107,36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Izvor: 71 Prihodi od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20.042,43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Program: 1340 DOM ZA STARIJE I NEMOĆNE OSOBE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1.299.271,20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3.086.120,00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3.086.120,00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1.573.112,99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50,97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A134001 Stručno i administrativno osoblje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1.259.637,36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2.800.764,00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2.800.764,00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1.486.369,36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53,07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37.087,93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79.633,00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79.633,00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31.853,20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40,00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37.087,93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79.633,00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79.633,00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31.853,20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40,00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31.654,39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26.672,00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31.654,39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26.672,00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5.433,54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5.181,20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5.433,54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5.181,20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31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12.469,44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35.835,00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19.953,72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160,02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55,68</w:t>
            </w:r>
          </w:p>
        </w:tc>
      </w:tr>
      <w:tr w:rsidR="004364B5" w:rsidRPr="004364B5" w:rsidTr="00C4713E">
        <w:trPr>
          <w:trHeight w:val="30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8.337,04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19.247,00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19.247,00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7.536,46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39,16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3.111,39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2.491,11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3.111,39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2.491,11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736,85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556,39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736,85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556,39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4.488,96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4.488,96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4.132,40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16.588,00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12.417,26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74,86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4.132,40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12.417,26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4.163,60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1.052,76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4224 Medicinska i laboratorijska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7.962,72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3.430,28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43 Ostali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932.317,70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2.126.965,00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2.126.965,00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1.155.565,56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54,33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480.176,97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945.736,00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945.736,00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636.134,64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132,48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67,26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386.226,88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508.251,47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386.226,88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508.251,47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34.095,74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52.750,53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154,71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34.095,74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52.750,53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154,71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59.854,35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75.132,64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3131 Doprinosi za mirovinsko osiguranje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59.788,81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75.132,64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444.301,96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1.164.259,00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1.164.259,00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511.186,66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43,91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43.724,12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53.166,09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42.459,46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51.847,15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1.131,94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1.318,94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300.255,42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349.010,46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23.784,25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29.281,83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142.817,40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204.579,20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124.905,23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103.439,50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5.876,62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5.225,11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C4713E">
        <w:trPr>
          <w:trHeight w:val="30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191,32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1.191,38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622,72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5.293,44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94.257,74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100.194,23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3.734,54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3.927,83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37.276,64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21.200,99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2.172,13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3.047,16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40.784,51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45.758,16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1.982,51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8.561,09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431,83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5.038,28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4.349,32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2.937,82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11.510,50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1.839,18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555,12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6.064,68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8.815,88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3.570,03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4.016,52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1.242,89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301,52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494,72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1.587,72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3.538,89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222,89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7.321,15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5.917,83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42,51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342 Kamate za primljene kredite i zajmove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5.421,54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4.282,68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3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3422 Kamate za primljene kredite i zajmove od kreditnih i ostalih fin. institucija u javnom sektoru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3.488,06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2.487,38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53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3423 Kamate za primljene kredite i zajmove od kreditnih i ostalih fin. institucija izvan javnog sektora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1.933,48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1.795,30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1.899,61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1.635,15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1.885,40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1.558,63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538,49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2.326,43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76,28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2.326,43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2.326,43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44 Decentralizirana sredstva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276.169,62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552.226,00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552.226,00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251.000,00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45,45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276.169,62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552.226,00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552.226,00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251.000,00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45,45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238.901,06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217.175,00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238.901,06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217.175,00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37.268,56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33.825,00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C4713E">
        <w:trPr>
          <w:trHeight w:val="30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37.268,56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33.825,00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90,76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52 Ostale pomoći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6.554,45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411,54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107,36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2.092,24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2.092,24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187,76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187,76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6.105,00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4.274,45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70,02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4.274,45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268,38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4.274,45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268,38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61 Donacije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71 Prihodi od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20.042,43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18.042,43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18.042,43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18.042,43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A134002 Otplata kredita za Energetsku obnovu Doma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53.932,94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36,94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53.932,94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36,94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145.995,00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53.932,94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36,94</w:t>
            </w:r>
          </w:p>
        </w:tc>
      </w:tr>
      <w:tr w:rsidR="004364B5" w:rsidRPr="004364B5" w:rsidTr="004364B5">
        <w:trPr>
          <w:trHeight w:val="53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542 Otplata glavnice primljenih kredita i zajmova od kreditnih i ostalih financijskih institucija u javnom sektoru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41.371,22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41.371,22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53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12.561,72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C4713E" w:rsidRPr="004364B5" w:rsidTr="00C4713E">
        <w:trPr>
          <w:trHeight w:val="33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12.561,72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C4713E" w:rsidRPr="004364B5" w:rsidTr="00C4713E">
        <w:trPr>
          <w:trHeight w:val="14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13E" w:rsidRPr="004364B5" w:rsidRDefault="00C4713E" w:rsidP="00C4713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13E" w:rsidRPr="004364B5" w:rsidRDefault="00C4713E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13E" w:rsidRPr="004364B5" w:rsidRDefault="00C4713E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13E" w:rsidRPr="004364B5" w:rsidRDefault="00C4713E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13E" w:rsidRPr="004364B5" w:rsidRDefault="00C4713E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13E" w:rsidRPr="004364B5" w:rsidRDefault="00C4713E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713E" w:rsidRPr="004364B5" w:rsidRDefault="00C4713E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K134001 Održavanje objekata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39.633,84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139.361,00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139.361,00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32.810,69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23,54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11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106.178,00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43 Ostali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39.633,84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39.633,84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53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542 Otplata glavnice primljenih kredita i zajmova od kreditnih i ostalih financijskih institucija u javnom sektoru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27.053,58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5422 Otplata glavnice primljenih kredita od kreditnih institucija u javnom sektoru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27.053,58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53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12.580,26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12.580,26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Izvor: 44 Decentralizirana sredstva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33.183,00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33.183,00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32.810,69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98,88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15.929,00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15.929,00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99,98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16.884,69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97,86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16.884,69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1.502,31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4224 Medicinska i laboratorijska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4364B5" w:rsidRPr="004364B5" w:rsidTr="004364B5">
        <w:trPr>
          <w:trHeight w:val="3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14.812,38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4B5" w:rsidRPr="004364B5" w:rsidRDefault="004364B5" w:rsidP="0043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:rsidR="00FB4269" w:rsidRDefault="00FB4269" w:rsidP="00580EF7">
      <w:pPr>
        <w:pStyle w:val="Odlomakpopisa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FB4269" w:rsidSect="00056618">
          <w:pgSz w:w="16838" w:h="11906" w:orient="landscape" w:code="9"/>
          <w:pgMar w:top="709" w:right="1418" w:bottom="567" w:left="1418" w:header="709" w:footer="709" w:gutter="0"/>
          <w:cols w:space="708"/>
          <w:docGrid w:linePitch="360"/>
        </w:sectPr>
      </w:pPr>
    </w:p>
    <w:p w:rsidR="000E568E" w:rsidRPr="000E568E" w:rsidRDefault="000E568E" w:rsidP="00580EF7">
      <w:pPr>
        <w:pStyle w:val="Odlomakpopisa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FC" w:rsidRDefault="00187EFC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0" w:rsidRDefault="00DF08A0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269" w:rsidRDefault="00FB4269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269" w:rsidRDefault="00FB4269" w:rsidP="005555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57" w:rsidRDefault="00FB4269" w:rsidP="00F77E57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4269">
        <w:rPr>
          <w:rFonts w:ascii="Times New Roman" w:hAnsi="Times New Roman" w:cs="Times New Roman"/>
          <w:b/>
          <w:sz w:val="48"/>
          <w:szCs w:val="48"/>
        </w:rPr>
        <w:t>OBRAZLOŽENJE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B4269">
        <w:rPr>
          <w:rFonts w:ascii="Times New Roman" w:hAnsi="Times New Roman" w:cs="Times New Roman"/>
          <w:b/>
          <w:sz w:val="48"/>
          <w:szCs w:val="48"/>
        </w:rPr>
        <w:t>OPĆEG</w:t>
      </w:r>
      <w:r w:rsidR="00F77E57">
        <w:rPr>
          <w:rFonts w:ascii="Times New Roman" w:hAnsi="Times New Roman" w:cs="Times New Roman"/>
          <w:b/>
          <w:sz w:val="48"/>
          <w:szCs w:val="48"/>
        </w:rPr>
        <w:t xml:space="preserve"> I POSEBNOG</w:t>
      </w:r>
      <w:r w:rsidRPr="00FB4269">
        <w:rPr>
          <w:rFonts w:ascii="Times New Roman" w:hAnsi="Times New Roman" w:cs="Times New Roman"/>
          <w:b/>
          <w:sz w:val="48"/>
          <w:szCs w:val="48"/>
        </w:rPr>
        <w:t xml:space="preserve"> DIJELA</w:t>
      </w:r>
      <w:r w:rsidR="00F77E5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077DD" w:rsidRPr="00F77E57">
        <w:rPr>
          <w:rFonts w:ascii="Times New Roman" w:hAnsi="Times New Roman" w:cs="Times New Roman"/>
          <w:b/>
          <w:sz w:val="48"/>
          <w:szCs w:val="48"/>
        </w:rPr>
        <w:t>POLUGODIŠNJEG</w:t>
      </w:r>
    </w:p>
    <w:p w:rsidR="00F77E57" w:rsidRDefault="002077DD" w:rsidP="00F77E57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7E57">
        <w:rPr>
          <w:rFonts w:ascii="Times New Roman" w:hAnsi="Times New Roman" w:cs="Times New Roman"/>
          <w:b/>
          <w:sz w:val="48"/>
          <w:szCs w:val="48"/>
        </w:rPr>
        <w:t xml:space="preserve"> IZVJEŠTAJA O IZVRŠENJU </w:t>
      </w:r>
    </w:p>
    <w:p w:rsidR="00426CF5" w:rsidRPr="00F77E57" w:rsidRDefault="00FB4269" w:rsidP="00F77E57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7E57">
        <w:rPr>
          <w:rFonts w:ascii="Times New Roman" w:hAnsi="Times New Roman" w:cs="Times New Roman"/>
          <w:b/>
          <w:sz w:val="48"/>
          <w:szCs w:val="48"/>
        </w:rPr>
        <w:t>FINANCIJSKOG PLANA</w:t>
      </w:r>
    </w:p>
    <w:p w:rsidR="00426CF5" w:rsidRDefault="00FB4269" w:rsidP="00187EFC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4269">
        <w:rPr>
          <w:rFonts w:ascii="Times New Roman" w:hAnsi="Times New Roman" w:cs="Times New Roman"/>
          <w:b/>
          <w:sz w:val="48"/>
          <w:szCs w:val="48"/>
        </w:rPr>
        <w:t>ZA 2023. GODINU</w:t>
      </w:r>
    </w:p>
    <w:p w:rsidR="00FB4269" w:rsidRPr="00FB3430" w:rsidRDefault="00FB4269" w:rsidP="00187EFC">
      <w:pPr>
        <w:spacing w:after="120"/>
        <w:rPr>
          <w:rFonts w:ascii="Times New Roman" w:hAnsi="Times New Roman" w:cs="Times New Roman"/>
          <w:b/>
          <w:sz w:val="48"/>
          <w:szCs w:val="48"/>
        </w:rPr>
        <w:sectPr w:rsidR="00FB4269" w:rsidRPr="00FB3430" w:rsidSect="00FB4269">
          <w:pgSz w:w="11906" w:h="16838" w:code="9"/>
          <w:pgMar w:top="1418" w:right="567" w:bottom="1418" w:left="709" w:header="709" w:footer="709" w:gutter="0"/>
          <w:cols w:space="708"/>
          <w:docGrid w:linePitch="360"/>
        </w:sectPr>
      </w:pPr>
    </w:p>
    <w:p w:rsidR="00F77E57" w:rsidRPr="00F77E57" w:rsidRDefault="00F77E57" w:rsidP="00F77E5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57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1C5B5C" w:rsidRPr="005F3FB2" w:rsidRDefault="001C5B5C" w:rsidP="0064223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FB2">
        <w:rPr>
          <w:rFonts w:ascii="Times New Roman" w:hAnsi="Times New Roman" w:cs="Times New Roman"/>
          <w:b/>
          <w:sz w:val="24"/>
          <w:szCs w:val="24"/>
          <w:u w:val="single"/>
        </w:rPr>
        <w:t>RAČUN PRIHODA I RASHODA</w:t>
      </w:r>
    </w:p>
    <w:p w:rsidR="001C5B5C" w:rsidRPr="00642237" w:rsidRDefault="002A1B4A" w:rsidP="001A0B47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 dio Polugodišnjeg izvještaja o </w:t>
      </w: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izvršenju Financijskog</w:t>
      </w:r>
      <w:r w:rsidR="001C5B5C"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C5B5C"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 za 2023.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1C5B5C"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sastoji se od Računa prihoda i rashoda i Računa financiranja.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ostvarenja u razdoblju od 01.01.-30.06.2023. s</w:t>
      </w:r>
      <w:r w:rsidR="006E2876"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trukturu</w:t>
      </w: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 prihoda i rashoda čine</w:t>
      </w:r>
      <w:r w:rsidR="001C5B5C"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E50A6" w:rsidRPr="002A1B4A" w:rsidRDefault="006E50A6" w:rsidP="006E50A6">
      <w:pPr>
        <w:numPr>
          <w:ilvl w:val="0"/>
          <w:numId w:val="6"/>
        </w:numPr>
        <w:spacing w:after="12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poslovanja: </w:t>
      </w:r>
      <w:r w:rsidR="002A1B4A"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1.533.885,75</w:t>
      </w: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</w:p>
    <w:p w:rsidR="00BF2214" w:rsidRPr="002A1B4A" w:rsidRDefault="00BF2214" w:rsidP="006E50A6">
      <w:pPr>
        <w:numPr>
          <w:ilvl w:val="0"/>
          <w:numId w:val="6"/>
        </w:numPr>
        <w:spacing w:after="12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prodaje nefinancijske imovine: 2.000,00 EUR</w:t>
      </w:r>
    </w:p>
    <w:p w:rsidR="006E50A6" w:rsidRPr="002A1B4A" w:rsidRDefault="006E50A6" w:rsidP="006E50A6">
      <w:pPr>
        <w:numPr>
          <w:ilvl w:val="0"/>
          <w:numId w:val="6"/>
        </w:numPr>
        <w:spacing w:after="12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poslovanja: </w:t>
      </w:r>
      <w:r w:rsidR="002A1B4A"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1.487.878,1</w:t>
      </w: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0 EUR</w:t>
      </w:r>
    </w:p>
    <w:p w:rsidR="006E50A6" w:rsidRDefault="006E50A6" w:rsidP="006E50A6">
      <w:pPr>
        <w:numPr>
          <w:ilvl w:val="0"/>
          <w:numId w:val="6"/>
        </w:numPr>
        <w:spacing w:after="12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za nabavu nefinancijske imovine: </w:t>
      </w:r>
      <w:r w:rsidR="002A1B4A"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>31.301,95</w:t>
      </w: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 w:rsidRPr="002A1B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A0B47" w:rsidRPr="002A1B4A" w:rsidRDefault="001A0B47" w:rsidP="001A0B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2B0D" w:rsidRDefault="001A0B47" w:rsidP="00F10A7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0B47"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01.01.-30.06.2023. ostvareni su prihodi u iznosu od 1.535.885,75 EUR što je više u odnosu na isto razdoblje prošle godine. Najznačajniji razlog većih prihoda je povećanje cijena smještaja u Domu koje vrijedi od 01. srpnja 2022. godine.</w:t>
      </w:r>
      <w:r w:rsidR="00712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Ostvarene su i veće pomoći iz inozemstva i od subjekata unutar </w:t>
      </w:r>
      <w:r w:rsidR="00F10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općeg proračuna koje obuhvaćaju </w:t>
      </w:r>
      <w:r w:rsidR="00712B0D" w:rsidRP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dijela troškova energenata ko</w:t>
      </w:r>
      <w:r w:rsidR="00F10A7F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712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nastavlja i u 2023. godini</w:t>
      </w:r>
      <w:r w:rsidR="00F10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2B0D" w:rsidRP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i pomoći dobivene od HZZ-a za zapošljavanje fizioterapeuta preko mjere HZZ-a „Potpora za zapošljavanje“ kojom je trošak spomenutog radnog mjesta sufinanciran u iznosu od 4.560,00 EUR</w:t>
      </w:r>
      <w:r w:rsidR="00F10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(do sada je isplaćena polovica navedenog iznosa)</w:t>
      </w:r>
      <w:r w:rsidR="00712B0D" w:rsidRP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44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imovine manji su u odnosu na isto razdoblje prošle godine iz razloga što su sredstva na računu koja smo imali po EU projektu energetske obnove Doma vraćena HBOR-u kako se ne bi radilo o dvostrukom financiranju. Povratom navedenih sredstava smanjili su se i prihodi od kamata. U razdoblju 01.01.-30.06.2023. ostvarena je i donacija jednog trgovačkog društva u iznosu od 1.400,00 EUR što je utrošeno na uređenje sobe korisnika.</w:t>
      </w:r>
      <w:r w:rsidR="003C65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nadležnog proračuna u navedenom razdoblju nešto su veći jer je za 2023. godinu odobren i veći iznos sredstava iz Proračuna Varaždinske županije koja se zajedno sa decentraliziranim sredstvima isplaćuju prema dogovorenoj dinamici.</w:t>
      </w:r>
      <w:r w:rsidR="00377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istom razdoblju ostvareni su i prihodi od prodaje nefinancijske imovine koji se odnose na prodaju kombi vozila.</w:t>
      </w:r>
    </w:p>
    <w:p w:rsidR="00D5767E" w:rsidRDefault="00506EFF" w:rsidP="00F10A7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u razdoblju od 01.01.-30.06.2023. ostvareni su u iznosu od 1.519.180,05 EUR što je više u odnosu na isto razdoblje prošle godine.</w:t>
      </w:r>
      <w:r w:rsidR="001F7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rashoda poslovanja najviše su povećani rashodi za zaposlene i materijalni rashodi, a razlozi navedenog pojašnjeni su u Obrazloženju Posebnog dijela.</w:t>
      </w:r>
      <w:r w:rsidR="006A1C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nabavu nefinancijske imovine u istom razdoblju veći su u odnosu na prošlu godinu iz razloga što je do sada realizirana sva kupnja planirane</w:t>
      </w:r>
      <w:r w:rsidR="00B35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nefinancijske imovine prema Popisu prioriteta i kupljeno je kombi vozilo u iznosu od 1.350,00 EUR.</w:t>
      </w:r>
      <w:r w:rsidR="006A1C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7767A" w:rsidRPr="001A0B47" w:rsidRDefault="006A1C7C" w:rsidP="00F10A7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 je u navedenom izvještajnom razdoblju ostvario manjak prihoda u iznosu od 37.227,24 EUR</w:t>
      </w:r>
      <w:r w:rsidR="00D5767E">
        <w:rPr>
          <w:rFonts w:ascii="Times New Roman" w:eastAsia="Times New Roman" w:hAnsi="Times New Roman" w:cs="Times New Roman"/>
          <w:sz w:val="24"/>
          <w:szCs w:val="24"/>
          <w:lang w:eastAsia="hr-HR"/>
        </w:rPr>
        <w:t>, a preneseni višak iz prethodne godine iznosi 1.627,95 EUR koji će se utrošiti za financiranje materijalnih rashoda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C5B5C" w:rsidRPr="00D92008" w:rsidRDefault="00954DE9" w:rsidP="00D92008">
      <w:pP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4223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</w:t>
      </w:r>
    </w:p>
    <w:p w:rsidR="00D5767E" w:rsidRDefault="00D5767E" w:rsidP="0064223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B5C" w:rsidRPr="005F3FB2" w:rsidRDefault="001C5B5C" w:rsidP="00642237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FB2">
        <w:rPr>
          <w:rFonts w:ascii="Times New Roman" w:hAnsi="Times New Roman" w:cs="Times New Roman"/>
          <w:b/>
          <w:sz w:val="24"/>
          <w:szCs w:val="24"/>
          <w:u w:val="single"/>
        </w:rPr>
        <w:t>RAČUN FINANCIRANJA</w:t>
      </w:r>
    </w:p>
    <w:p w:rsidR="001C5B5C" w:rsidRDefault="001C5B5C" w:rsidP="005F3FB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5B3C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Računu financiranja </w:t>
      </w:r>
      <w:r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su izdaci za otplatu glavnice primljenih kredita i zajmova</w:t>
      </w:r>
      <w:r w:rsidR="0064791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920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Vidljivo je da je u razdoblju 01.01.-30.06.2023. otplaćen veći iznos za glavnice kredita. Razlog tome je što je otplata većeg kredita uzetog kod HBOR-a započela prošle godine u drugom kvartalu tako da je izvještajno razdoblje prošle godine obuhvaćalo samo jednu otplatu, a ove godine obuhvaća dvije.</w:t>
      </w:r>
      <w:r w:rsidR="0064791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Prilikom donošenja Financijskog p</w:t>
      </w:r>
      <w:r w:rsidR="00D92008">
        <w:rPr>
          <w:rFonts w:ascii="Times New Roman" w:eastAsia="Times New Roman" w:hAnsi="Times New Roman" w:cs="Times New Roman"/>
          <w:sz w:val="24"/>
          <w:szCs w:val="24"/>
          <w:lang w:eastAsia="hr-HR"/>
        </w:rPr>
        <w:t>lana za 2023. godinu za otplatu oba kredita</w:t>
      </w:r>
      <w:r w:rsidR="0064791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planiran iznos </w:t>
      </w:r>
      <w:r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>od 145.995,00 EUR.</w:t>
      </w:r>
      <w:r w:rsidR="0064791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5B1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Prijedlogom I. Izmjena i dopuna</w:t>
      </w:r>
      <w:r w:rsidR="0064791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 iznos je smanjen na </w:t>
      </w:r>
      <w:r w:rsidR="002B6F1E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>107.867</w:t>
      </w:r>
      <w:r w:rsidR="0064791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</w:t>
      </w:r>
      <w:r w:rsidR="005B3C4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dobivenim novim Otplatnim planom</w:t>
      </w:r>
      <w:r w:rsidR="0064791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ukupnog iznosa, </w:t>
      </w:r>
      <w:r w:rsidR="005B3C4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>82.743</w:t>
      </w:r>
      <w:r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EUR odnosi se na otplatu glavnice primljenog kredita od Hrvatske banke za obnovu i razvitak (HBOR), a </w:t>
      </w:r>
      <w:r w:rsidR="005B3C48"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>25.124</w:t>
      </w:r>
      <w:r w:rsidRPr="005B3C48">
        <w:rPr>
          <w:rFonts w:ascii="Times New Roman" w:eastAsia="Times New Roman" w:hAnsi="Times New Roman" w:cs="Times New Roman"/>
          <w:sz w:val="24"/>
          <w:szCs w:val="24"/>
          <w:lang w:eastAsia="hr-HR"/>
        </w:rPr>
        <w:t>,00 EUR se odnosi na otplatu glavnice primljenog kredita od Zagrebačke banke.</w:t>
      </w:r>
    </w:p>
    <w:p w:rsidR="00F77E57" w:rsidRDefault="00F77E57" w:rsidP="005F3FB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E57" w:rsidRPr="00F77E57" w:rsidRDefault="00F77E57" w:rsidP="00F77E5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7E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</w:t>
      </w:r>
    </w:p>
    <w:p w:rsidR="005A4EF1" w:rsidRDefault="005A4EF1" w:rsidP="005A4EF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F1" w:rsidRDefault="005A4EF1" w:rsidP="0013189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tabele koja je prikazana u Posebnom dijelu vidljivo je da se Program 1340</w:t>
      </w:r>
      <w:r w:rsidR="00131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 za starije i nemoćne osobe Varaždin sastoji od tri aktivnosti/projekta:</w:t>
      </w:r>
    </w:p>
    <w:p w:rsidR="0013189C" w:rsidRDefault="0013189C" w:rsidP="001318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189C" w:rsidRPr="002A1B4A" w:rsidRDefault="0013189C" w:rsidP="0013189C">
      <w:pPr>
        <w:numPr>
          <w:ilvl w:val="0"/>
          <w:numId w:val="6"/>
        </w:numPr>
        <w:spacing w:after="12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A134001 Stručno i administrativno osoblje</w:t>
      </w:r>
    </w:p>
    <w:p w:rsidR="0013189C" w:rsidRPr="002A1B4A" w:rsidRDefault="0013189C" w:rsidP="0013189C">
      <w:pPr>
        <w:numPr>
          <w:ilvl w:val="0"/>
          <w:numId w:val="6"/>
        </w:numPr>
        <w:spacing w:after="12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A134002 Otplata kredita za Energetsku obnovu Doma</w:t>
      </w:r>
    </w:p>
    <w:p w:rsidR="0013189C" w:rsidRPr="0013189C" w:rsidRDefault="0013189C" w:rsidP="0013189C">
      <w:pPr>
        <w:numPr>
          <w:ilvl w:val="0"/>
          <w:numId w:val="6"/>
        </w:numPr>
        <w:spacing w:after="120" w:line="240" w:lineRule="auto"/>
        <w:ind w:left="70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K134001 Održavanje objekata</w:t>
      </w:r>
    </w:p>
    <w:p w:rsidR="0013189C" w:rsidRDefault="0013189C" w:rsidP="005A4E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4EF1" w:rsidRPr="005F3FB2" w:rsidRDefault="005F3FB2" w:rsidP="005A4EF1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  <w:r w:rsidRPr="005F3F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STRUČNO I ADMINISTRATIVNO OSOBLJE</w:t>
      </w:r>
    </w:p>
    <w:p w:rsidR="005A4EF1" w:rsidRPr="006F6BAE" w:rsidRDefault="005A4EF1" w:rsidP="00550A7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F6B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Unutar navedene aktivnosti sadržane su plaće (bruto) za zaposlene, ostali rashodi za zaposlene i doprinosi na plaće. Isto tako, ovdje se nalaze svi materijalni rashodi, financijski rashodi te ostale naknade građanima i kućanstvima iz proračuna.</w:t>
      </w:r>
    </w:p>
    <w:p w:rsidR="00D50432" w:rsidRDefault="005A4EF1" w:rsidP="00550A7A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6B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Plaće (bruto) za zaposlene, ostali rashodi za zaposlene i doprinosi na plaće financirani su iz više izvora financiranja.</w:t>
      </w:r>
      <w:r w:rsidRPr="006F6BA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9557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Tako se iz izvora 11 (opći prihodi i primici – županijski proračun) dijelom financiraju plaće (bruto</w:t>
      </w:r>
      <w:r w:rsidRPr="002E74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za Dnevni c</w:t>
      </w:r>
      <w:r w:rsidR="00550A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entar </w:t>
      </w:r>
      <w:r w:rsidRPr="002E74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 doprinosi n</w:t>
      </w:r>
      <w:r w:rsidR="00550A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plaće</w:t>
      </w:r>
      <w:r w:rsidRPr="002E74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2E744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2E74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2023. godini iz izvora 11 dijelo</w:t>
      </w:r>
      <w:r w:rsidR="00AA48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Pr="002E74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financiraju i plaće zaposlenika Doma</w:t>
      </w:r>
      <w:r w:rsidR="00AA48E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Pr="002E7440">
        <w:rPr>
          <w:rFonts w:ascii="Times New Roman" w:eastAsia="Times New Roman" w:hAnsi="Times New Roman" w:cs="Times New Roman"/>
          <w:sz w:val="24"/>
          <w:szCs w:val="24"/>
          <w:lang w:eastAsia="hr-HR"/>
        </w:rPr>
        <w:t>Iz izvora 43 (ostali prihodi za posebne namjene) financiraju se p</w:t>
      </w:r>
      <w:r w:rsidR="00AA48EC">
        <w:rPr>
          <w:rFonts w:ascii="Times New Roman" w:eastAsia="Times New Roman" w:hAnsi="Times New Roman" w:cs="Times New Roman"/>
          <w:sz w:val="24"/>
          <w:szCs w:val="24"/>
          <w:lang w:eastAsia="hr-HR"/>
        </w:rPr>
        <w:t>laće (bruto)</w:t>
      </w:r>
      <w:r w:rsidRPr="002E7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ostali rashodi </w:t>
      </w:r>
      <w:r w:rsidR="00AA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zaposlene </w:t>
      </w:r>
      <w:r w:rsidRPr="002E7440">
        <w:rPr>
          <w:rFonts w:ascii="Times New Roman" w:eastAsia="Times New Roman" w:hAnsi="Times New Roman" w:cs="Times New Roman"/>
          <w:sz w:val="24"/>
          <w:szCs w:val="24"/>
          <w:lang w:eastAsia="hr-HR"/>
        </w:rPr>
        <w:t>i doprin</w:t>
      </w:r>
      <w:r w:rsidR="00AA48EC">
        <w:rPr>
          <w:rFonts w:ascii="Times New Roman" w:eastAsia="Times New Roman" w:hAnsi="Times New Roman" w:cs="Times New Roman"/>
          <w:sz w:val="24"/>
          <w:szCs w:val="24"/>
          <w:lang w:eastAsia="hr-HR"/>
        </w:rPr>
        <w:t>osi na plaće</w:t>
      </w:r>
      <w:r w:rsidRPr="002E7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 izvora 44 (decentralizirana sredstva) dijelom </w:t>
      </w:r>
      <w:r w:rsidRPr="006F6BAE">
        <w:rPr>
          <w:rFonts w:ascii="Times New Roman" w:eastAsia="Times New Roman" w:hAnsi="Times New Roman" w:cs="Times New Roman"/>
          <w:sz w:val="24"/>
          <w:szCs w:val="24"/>
          <w:lang w:eastAsia="hr-HR"/>
        </w:rPr>
        <w:t>se financiraju plaće</w:t>
      </w:r>
      <w:r w:rsidR="00AA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(bruto) </w:t>
      </w:r>
      <w:r w:rsidR="00AA48EC" w:rsidRPr="002E7440">
        <w:rPr>
          <w:rFonts w:ascii="Times New Roman" w:eastAsia="Times New Roman" w:hAnsi="Times New Roman" w:cs="Times New Roman"/>
          <w:sz w:val="24"/>
          <w:szCs w:val="24"/>
          <w:lang w:eastAsia="hr-HR"/>
        </w:rPr>
        <w:t>i doprin</w:t>
      </w:r>
      <w:r w:rsidR="00AA48EC">
        <w:rPr>
          <w:rFonts w:ascii="Times New Roman" w:eastAsia="Times New Roman" w:hAnsi="Times New Roman" w:cs="Times New Roman"/>
          <w:sz w:val="24"/>
          <w:szCs w:val="24"/>
          <w:lang w:eastAsia="hr-HR"/>
        </w:rPr>
        <w:t>osi na plaće</w:t>
      </w:r>
      <w:r w:rsidR="00AA48EC" w:rsidRPr="002E74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01840" w:rsidRPr="006F6BAE" w:rsidRDefault="004A5D14" w:rsidP="00FF0907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izvoru financiranja 43 u razdoblju od 01.01.-30.06.2023. vidljivo je povećanje rashoda za zaposlene u odnosu na isto razdoblje prošle godine. Razlog povećanja navedene pozicije je povećanje osnovice 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izračun plaće za 2%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01. travnja 2023.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hr-HR"/>
        </w:rPr>
        <w:t>, zaposlene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neke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osobe prema naputku inspekcije resornog ministarstva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povećava izdvajanja na navedenoj poziciji. Isto tako</w:t>
      </w:r>
      <w:r w:rsidR="00F319B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hr-HR"/>
        </w:rPr>
        <w:t>dlukom Vlade RH povećan je regres za sve zaposlenike na 300,00 EUR,</w:t>
      </w:r>
      <w:r w:rsidR="00981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srpnja se isplaćuje i privremeni </w:t>
      </w:r>
      <w:r w:rsidR="00F319B2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na plaću također prema O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hr-HR"/>
        </w:rPr>
        <w:t>dluci Vlade RH što je mjesečno povećanje od oko 20.000,00 EUR,</w:t>
      </w:r>
      <w:r w:rsidR="00F31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do kraja godine to povećanje će biti za oko 120.000,00 EUR. Također,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rujan su najavljeni novi pregovori o materijalnim pravima zaposlenika između Vlade i sindikata</w:t>
      </w:r>
      <w:r w:rsidR="00F319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 je moguće i dodatno povećanje</w:t>
      </w:r>
      <w:r w:rsidR="00C27A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19B2" w:rsidRDefault="005A4EF1" w:rsidP="00F319B2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D6D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F319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aterijalni rashodi na izvoru financiranja 43 u razdoblju od 01.01.-30.06.2023. također su povećani u odnosu na isto razdoblje prošle godine. Iako su nam temeljem Uredbe Vlade RH računi za električnu energiju gotovo prepolovljeni i znatno manji u odnosu na prošlu godinu, porasle su cijene namirnica, usluga i ostalih potrebnih rashoda.</w:t>
      </w:r>
      <w:r w:rsidR="001050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navedenom razdoblju ostvareni su i prihodi s osnova osiguranja što je utrošeno na usluge tekućeg i investicijskog održavanja (izvor financiranja 71).</w:t>
      </w:r>
      <w:r w:rsidRPr="007D6D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452B17" w:rsidRPr="000C6E6D" w:rsidRDefault="001050E9" w:rsidP="000C6E6D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E57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građanima i kućanstvima povećane su u razdoblju od 01.01.-30.06.2023.</w:t>
      </w:r>
      <w:r w:rsidR="001A2602" w:rsidRPr="00F77E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O</w:t>
      </w:r>
      <w:r w:rsidRPr="00F77E57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resornog ministarstva o povećanju džeparca korisnicima</w:t>
      </w:r>
      <w:r w:rsidR="001A2602" w:rsidRPr="00F77E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čega su</w:t>
      </w:r>
      <w:r w:rsidRPr="00F77E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</w:t>
      </w:r>
      <w:r w:rsidR="001A2602" w:rsidRPr="00F77E57">
        <w:rPr>
          <w:rFonts w:ascii="Times New Roman" w:eastAsia="Times New Roman" w:hAnsi="Times New Roman" w:cs="Times New Roman"/>
          <w:sz w:val="24"/>
          <w:szCs w:val="24"/>
          <w:lang w:eastAsia="hr-HR"/>
        </w:rPr>
        <w:t>plaćene razlike.</w:t>
      </w:r>
    </w:p>
    <w:p w:rsidR="005A4EF1" w:rsidRPr="001050E9" w:rsidRDefault="001050E9" w:rsidP="005A4E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OTPLATA KREDITA ZA ENERGETSKU OBNOVU DOMA</w:t>
      </w:r>
    </w:p>
    <w:p w:rsidR="005A4EF1" w:rsidRPr="00037E1A" w:rsidRDefault="001050E9" w:rsidP="001050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navedenoj aktivnosti vidljiva je otplata dvaju kredita uzetih za financiranje vlastite komponente prilikom provođenja projekta energetske obnove Doma. U</w:t>
      </w:r>
      <w:r w:rsidR="005A4EF1" w:rsidRPr="00037E1A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stanova se kreditno zadužila pri HBOR-u, a kako bi se financirali izvantroškovnički radovi ustanova se kreditno zadužila i kod Zagrebačke banke.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Navedene otplate glavnica u potpunosti se financiraju sredstvima dobivenim iz Proračuna Varaždinske županije.</w:t>
      </w:r>
    </w:p>
    <w:p w:rsidR="00452B17" w:rsidRDefault="00452B17" w:rsidP="005A4E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5A4EF1" w:rsidRPr="00F77E57" w:rsidRDefault="00F77E57" w:rsidP="005A4E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ODRŽAVANJE OBJEKATA</w:t>
      </w:r>
    </w:p>
    <w:p w:rsidR="00452B17" w:rsidRDefault="00452B17" w:rsidP="00F518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Unutar navedene aktivnosti u razdoblju od 01.01.-30.06. prošle godine bila je sadržana otplata glavnice kredita jer se navedeno tada </w:t>
      </w:r>
      <w:r w:rsidR="00F518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otplaćivalo iz izvora financiranja 43 (prihodi od opskrbnina) dok se u 2023. godini navedeno u potpunosti financira iz izvora financiranja 11 (županijski proračun) kao što je i navedeno u prijašnjoj aktivnosti.</w:t>
      </w:r>
    </w:p>
    <w:p w:rsidR="00F51893" w:rsidRDefault="00F51893" w:rsidP="00F518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 razdoblju od 01.01.-30.06.2023. na izvoru financiranja 44 vidljivo je ostvarenje na materijalnim rashodima i rashodima za nabavu proizvedene dugotrajne imovine što se odnosi na realizaciju kupnje opreme sukladno Popisu prioriteta i realizaciji iz pozicije hitne intervencije.</w:t>
      </w:r>
    </w:p>
    <w:p w:rsidR="00060109" w:rsidRDefault="00060109" w:rsidP="00F518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C5707" w:rsidRDefault="009C5707" w:rsidP="00F518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C5707" w:rsidRPr="00BD31C0" w:rsidRDefault="00BD31C0" w:rsidP="009C57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D31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 IZVJEŠTAJ</w:t>
      </w:r>
    </w:p>
    <w:p w:rsidR="000B064B" w:rsidRDefault="000B064B" w:rsidP="000B06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64B" w:rsidRPr="000B064B" w:rsidRDefault="000B064B" w:rsidP="00110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64B">
        <w:rPr>
          <w:rFonts w:ascii="Times New Roman" w:hAnsi="Times New Roman" w:cs="Times New Roman"/>
          <w:sz w:val="24"/>
          <w:szCs w:val="24"/>
        </w:rPr>
        <w:t>Stanje obveza na početku izvještajnog razdoblja iznosilo je</w:t>
      </w:r>
      <w:r w:rsidR="001105F8">
        <w:rPr>
          <w:rFonts w:ascii="Times New Roman" w:hAnsi="Times New Roman" w:cs="Times New Roman"/>
          <w:sz w:val="24"/>
          <w:szCs w:val="24"/>
        </w:rPr>
        <w:t xml:space="preserve"> 1.481.632,64 EUR</w:t>
      </w:r>
      <w:r w:rsidRPr="000B064B">
        <w:rPr>
          <w:rFonts w:ascii="Times New Roman" w:hAnsi="Times New Roman" w:cs="Times New Roman"/>
          <w:sz w:val="24"/>
          <w:szCs w:val="24"/>
        </w:rPr>
        <w:t>, a u izvještajnom ra</w:t>
      </w:r>
      <w:r w:rsidR="001105F8">
        <w:rPr>
          <w:rFonts w:ascii="Times New Roman" w:hAnsi="Times New Roman" w:cs="Times New Roman"/>
          <w:sz w:val="24"/>
          <w:szCs w:val="24"/>
        </w:rPr>
        <w:t>zdoblju obveze su povećane za 1.582.239,66</w:t>
      </w:r>
      <w:r w:rsidRPr="000B064B">
        <w:rPr>
          <w:rFonts w:ascii="Times New Roman" w:hAnsi="Times New Roman" w:cs="Times New Roman"/>
          <w:sz w:val="24"/>
          <w:szCs w:val="24"/>
        </w:rPr>
        <w:t xml:space="preserve"> </w:t>
      </w:r>
      <w:r w:rsidR="001105F8">
        <w:rPr>
          <w:rFonts w:ascii="Times New Roman" w:hAnsi="Times New Roman" w:cs="Times New Roman"/>
          <w:sz w:val="24"/>
          <w:szCs w:val="24"/>
        </w:rPr>
        <w:t>EUR</w:t>
      </w:r>
      <w:r w:rsidRPr="000B064B">
        <w:rPr>
          <w:rFonts w:ascii="Times New Roman" w:hAnsi="Times New Roman" w:cs="Times New Roman"/>
          <w:sz w:val="24"/>
          <w:szCs w:val="24"/>
        </w:rPr>
        <w:t>.</w:t>
      </w:r>
      <w:r w:rsidRPr="000B06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064B">
        <w:rPr>
          <w:rFonts w:ascii="Times New Roman" w:hAnsi="Times New Roman" w:cs="Times New Roman"/>
          <w:sz w:val="24"/>
          <w:szCs w:val="24"/>
        </w:rPr>
        <w:t>Dio o</w:t>
      </w:r>
      <w:r w:rsidR="001105F8">
        <w:rPr>
          <w:rFonts w:ascii="Times New Roman" w:hAnsi="Times New Roman" w:cs="Times New Roman"/>
          <w:sz w:val="24"/>
          <w:szCs w:val="24"/>
        </w:rPr>
        <w:t>bveza podmiren je u iznosu od 1.612.943,78</w:t>
      </w:r>
      <w:r w:rsidRPr="000B064B">
        <w:rPr>
          <w:rFonts w:ascii="Times New Roman" w:hAnsi="Times New Roman" w:cs="Times New Roman"/>
          <w:sz w:val="24"/>
          <w:szCs w:val="24"/>
        </w:rPr>
        <w:t xml:space="preserve"> </w:t>
      </w:r>
      <w:r w:rsidR="001105F8">
        <w:rPr>
          <w:rFonts w:ascii="Times New Roman" w:hAnsi="Times New Roman" w:cs="Times New Roman"/>
          <w:sz w:val="24"/>
          <w:szCs w:val="24"/>
        </w:rPr>
        <w:t>EUR</w:t>
      </w:r>
      <w:r w:rsidRPr="000B064B">
        <w:rPr>
          <w:rFonts w:ascii="Times New Roman" w:hAnsi="Times New Roman" w:cs="Times New Roman"/>
          <w:sz w:val="24"/>
          <w:szCs w:val="24"/>
        </w:rPr>
        <w:t xml:space="preserve">, a stanje obveza na kraju </w:t>
      </w:r>
      <w:r w:rsidR="001105F8">
        <w:rPr>
          <w:rFonts w:ascii="Times New Roman" w:hAnsi="Times New Roman" w:cs="Times New Roman"/>
          <w:sz w:val="24"/>
          <w:szCs w:val="24"/>
        </w:rPr>
        <w:t>izvještajnog razdoblja iznosi 1.450.928,52 EUR. Dospjele obveze iznose 3.548,89 EUR, a nedospjele 1.447.379,63 EUR</w:t>
      </w:r>
      <w:r w:rsidRPr="000B06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EF1" w:rsidRDefault="005A4EF1" w:rsidP="005A4EF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09" w:rsidRDefault="00060109" w:rsidP="005A4EF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09" w:rsidRDefault="00060109" w:rsidP="005A4EF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09" w:rsidRDefault="00060109" w:rsidP="005A4EF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09" w:rsidRDefault="00060109" w:rsidP="005A4EF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Obveze po kreditima:</w:t>
      </w:r>
    </w:p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4160"/>
        <w:gridCol w:w="5940"/>
      </w:tblGrid>
      <w:tr w:rsidR="00060109" w:rsidRPr="00060109" w:rsidTr="00060109">
        <w:trPr>
          <w:trHeight w:val="626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SVRHA KREDITA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Financiranje vlastite komponente u provođenju EU projekta energetske učinkovitosti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Hrvatska banka za obnovu i razvitak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 SKLAPANJA UGOVORA O KREDITU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18.06.2019.</w:t>
            </w:r>
          </w:p>
        </w:tc>
      </w:tr>
      <w:tr w:rsidR="00060109" w:rsidRPr="00060109" w:rsidTr="00060109">
        <w:trPr>
          <w:trHeight w:val="6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KREDITA NA POČETKU IZVJEŠTAJNOG RAZDOBLJA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1.013.594,88 EUR</w:t>
            </w:r>
          </w:p>
        </w:tc>
      </w:tr>
      <w:tr w:rsidR="00060109" w:rsidRPr="00060109" w:rsidTr="00060109">
        <w:trPr>
          <w:trHeight w:val="6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KREDITA NA KRAJU IZVJEŠTAJNOG RAZDOBLJA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972.223,66 EUR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KAMATNA STOPA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0,5 % godišnje, fiksna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ROK OTPLATE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14 godina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POČETAK OTPLATE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30.06.2021. interkalarna kamata/30.06.2022. kamate + otplata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KRAJ OTPLATE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31.03.2035.</w:t>
            </w:r>
          </w:p>
        </w:tc>
      </w:tr>
    </w:tbl>
    <w:p w:rsidR="00060109" w:rsidRDefault="00060109" w:rsidP="005A4E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4160"/>
        <w:gridCol w:w="5940"/>
      </w:tblGrid>
      <w:tr w:rsidR="00060109" w:rsidRPr="00060109" w:rsidTr="00060109">
        <w:trPr>
          <w:trHeight w:val="601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SVRHA KREDITA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Financiranje vantroškovničkih radova u provođenju EU projekta energetske učinkovitosti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Zagrebačka banka d.d.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 SKLAPANJA UGOVORA O KREDITU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19.11.2020. </w:t>
            </w:r>
          </w:p>
        </w:tc>
      </w:tr>
      <w:tr w:rsidR="00060109" w:rsidRPr="00060109" w:rsidTr="00060109">
        <w:trPr>
          <w:trHeight w:val="6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KREDITA NA POČETKU IZVJEŠTAJNOG RAZDOBLJA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224.218,36 EUR</w:t>
            </w:r>
          </w:p>
        </w:tc>
      </w:tr>
      <w:tr w:rsidR="00060109" w:rsidRPr="00060109" w:rsidTr="00060109">
        <w:trPr>
          <w:trHeight w:val="6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KREDITA NA KRAJU IZVJEŠTAJNOG RAZDOBLJA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211.656,64 EUR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KAMATNA STOPA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1,6 % godišnje, fiksna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ROK OTPLATE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10 godina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POČETAK OTPLATE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01.01.2021. interkalarna kamata/31.12.2021. otplatna kvota</w:t>
            </w:r>
          </w:p>
        </w:tc>
      </w:tr>
      <w:tr w:rsidR="00060109" w:rsidRPr="00060109" w:rsidTr="00060109">
        <w:trPr>
          <w:trHeight w:val="301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KRAJ OTPLATE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9" w:rsidRPr="00060109" w:rsidRDefault="00060109" w:rsidP="00060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60109">
              <w:rPr>
                <w:rFonts w:ascii="Calibri" w:eastAsia="Times New Roman" w:hAnsi="Calibri" w:cs="Calibri"/>
                <w:color w:val="000000"/>
                <w:lang w:eastAsia="hr-HR"/>
              </w:rPr>
              <w:t>30.11.2031.</w:t>
            </w:r>
          </w:p>
        </w:tc>
      </w:tr>
    </w:tbl>
    <w:p w:rsidR="00060109" w:rsidRPr="003A4AFD" w:rsidRDefault="00060109" w:rsidP="005A4E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6E6D" w:rsidRDefault="000C6E6D" w:rsidP="0035082C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5876" w:rsidRPr="00DC7D5F" w:rsidRDefault="00E04AB9" w:rsidP="003508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7D5F">
        <w:rPr>
          <w:rFonts w:ascii="Times New Roman" w:hAnsi="Times New Roman" w:cs="Times New Roman"/>
          <w:sz w:val="24"/>
          <w:szCs w:val="24"/>
        </w:rPr>
        <w:t>URBROJ: 2186-1-25/01-23</w:t>
      </w:r>
      <w:r w:rsidR="009D51D2" w:rsidRPr="00DC7D5F">
        <w:rPr>
          <w:rFonts w:ascii="Times New Roman" w:hAnsi="Times New Roman" w:cs="Times New Roman"/>
          <w:sz w:val="24"/>
          <w:szCs w:val="24"/>
        </w:rPr>
        <w:t>/</w:t>
      </w:r>
      <w:r w:rsidR="00531413" w:rsidRPr="00DC7D5F">
        <w:rPr>
          <w:rFonts w:ascii="Times New Roman" w:hAnsi="Times New Roman" w:cs="Times New Roman"/>
          <w:sz w:val="24"/>
          <w:szCs w:val="24"/>
        </w:rPr>
        <w:t>3</w:t>
      </w:r>
      <w:r w:rsidR="00DC7D5F" w:rsidRPr="00DC7D5F">
        <w:rPr>
          <w:rFonts w:ascii="Times New Roman" w:hAnsi="Times New Roman" w:cs="Times New Roman"/>
          <w:sz w:val="24"/>
          <w:szCs w:val="24"/>
        </w:rPr>
        <w:t>6-25</w:t>
      </w:r>
      <w:r w:rsidR="00531413" w:rsidRPr="00DC7D5F">
        <w:rPr>
          <w:rFonts w:ascii="Times New Roman" w:hAnsi="Times New Roman" w:cs="Times New Roman"/>
          <w:sz w:val="24"/>
          <w:szCs w:val="24"/>
        </w:rPr>
        <w:t>-1</w:t>
      </w:r>
    </w:p>
    <w:p w:rsidR="00531413" w:rsidRPr="00DC7D5F" w:rsidRDefault="00E04AB9" w:rsidP="003508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7D5F">
        <w:rPr>
          <w:rFonts w:ascii="Times New Roman" w:hAnsi="Times New Roman" w:cs="Times New Roman"/>
          <w:sz w:val="24"/>
          <w:szCs w:val="24"/>
        </w:rPr>
        <w:t>U Varaždinu, 28.07.2023</w:t>
      </w:r>
      <w:r w:rsidR="009D51D2" w:rsidRPr="00DC7D5F">
        <w:rPr>
          <w:rFonts w:ascii="Times New Roman" w:hAnsi="Times New Roman" w:cs="Times New Roman"/>
          <w:sz w:val="24"/>
          <w:szCs w:val="24"/>
        </w:rPr>
        <w:t>.</w:t>
      </w:r>
    </w:p>
    <w:p w:rsidR="00060109" w:rsidRPr="00DC7D5F" w:rsidRDefault="00060109" w:rsidP="003508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0109" w:rsidRPr="000C6E6D" w:rsidRDefault="00060109" w:rsidP="0035082C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5876" w:rsidRPr="00E35876" w:rsidRDefault="00E35876" w:rsidP="003508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35876" w:rsidRPr="00E35876" w:rsidRDefault="00E35876" w:rsidP="00E35876">
      <w:pPr>
        <w:spacing w:after="18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87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Upravnog vijeća:</w:t>
      </w:r>
    </w:p>
    <w:p w:rsidR="00E35876" w:rsidRPr="00E35876" w:rsidRDefault="00E35876" w:rsidP="00E3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5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Ruža Jelovac, dipl.oec.</w:t>
      </w:r>
    </w:p>
    <w:p w:rsidR="00E35876" w:rsidRPr="00E35876" w:rsidRDefault="00E35876" w:rsidP="003508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35876" w:rsidRPr="00E35876" w:rsidSect="00FB4269">
      <w:pgSz w:w="11906" w:h="16838" w:code="9"/>
      <w:pgMar w:top="1418" w:right="15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6CE8"/>
    <w:multiLevelType w:val="hybridMultilevel"/>
    <w:tmpl w:val="EE54D60E"/>
    <w:lvl w:ilvl="0" w:tplc="8C82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0C78"/>
    <w:multiLevelType w:val="hybridMultilevel"/>
    <w:tmpl w:val="F50449A4"/>
    <w:lvl w:ilvl="0" w:tplc="ABE88C5C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321565"/>
    <w:multiLevelType w:val="hybridMultilevel"/>
    <w:tmpl w:val="366899DC"/>
    <w:lvl w:ilvl="0" w:tplc="40E620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74340"/>
    <w:multiLevelType w:val="hybridMultilevel"/>
    <w:tmpl w:val="539C05BA"/>
    <w:lvl w:ilvl="0" w:tplc="ABE88C5C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EE0133"/>
    <w:multiLevelType w:val="hybridMultilevel"/>
    <w:tmpl w:val="6040F02A"/>
    <w:lvl w:ilvl="0" w:tplc="ABE88C5C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766880"/>
    <w:multiLevelType w:val="hybridMultilevel"/>
    <w:tmpl w:val="DF4E4B96"/>
    <w:lvl w:ilvl="0" w:tplc="8C82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570F"/>
    <w:multiLevelType w:val="hybridMultilevel"/>
    <w:tmpl w:val="899EDAA8"/>
    <w:lvl w:ilvl="0" w:tplc="52BEA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55A2"/>
    <w:multiLevelType w:val="hybridMultilevel"/>
    <w:tmpl w:val="DE38A228"/>
    <w:lvl w:ilvl="0" w:tplc="ABE88C5C">
      <w:numFmt w:val="bullet"/>
      <w:lvlText w:val="•"/>
      <w:lvlJc w:val="left"/>
      <w:pPr>
        <w:ind w:left="1145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8117B2A"/>
    <w:multiLevelType w:val="hybridMultilevel"/>
    <w:tmpl w:val="ACC48076"/>
    <w:lvl w:ilvl="0" w:tplc="8C82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90F6B"/>
    <w:multiLevelType w:val="hybridMultilevel"/>
    <w:tmpl w:val="FA7AAF36"/>
    <w:lvl w:ilvl="0" w:tplc="FECEB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8364F"/>
    <w:multiLevelType w:val="hybridMultilevel"/>
    <w:tmpl w:val="AC862B10"/>
    <w:lvl w:ilvl="0" w:tplc="8C82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D4660"/>
    <w:multiLevelType w:val="hybridMultilevel"/>
    <w:tmpl w:val="AC862B10"/>
    <w:lvl w:ilvl="0" w:tplc="8C82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74C16"/>
    <w:multiLevelType w:val="hybridMultilevel"/>
    <w:tmpl w:val="4222979E"/>
    <w:lvl w:ilvl="0" w:tplc="ABE88C5C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DE7CDE"/>
    <w:multiLevelType w:val="hybridMultilevel"/>
    <w:tmpl w:val="11A2B3D4"/>
    <w:lvl w:ilvl="0" w:tplc="81C60888">
      <w:start w:val="1"/>
      <w:numFmt w:val="upperRoman"/>
      <w:lvlText w:val="%1."/>
      <w:lvlJc w:val="left"/>
      <w:pPr>
        <w:ind w:left="31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488" w:hanging="360"/>
      </w:pPr>
    </w:lvl>
    <w:lvl w:ilvl="2" w:tplc="041A001B" w:tentative="1">
      <w:start w:val="1"/>
      <w:numFmt w:val="lowerRoman"/>
      <w:lvlText w:val="%3."/>
      <w:lvlJc w:val="right"/>
      <w:pPr>
        <w:ind w:left="4208" w:hanging="180"/>
      </w:pPr>
    </w:lvl>
    <w:lvl w:ilvl="3" w:tplc="041A000F" w:tentative="1">
      <w:start w:val="1"/>
      <w:numFmt w:val="decimal"/>
      <w:lvlText w:val="%4."/>
      <w:lvlJc w:val="left"/>
      <w:pPr>
        <w:ind w:left="4928" w:hanging="360"/>
      </w:pPr>
    </w:lvl>
    <w:lvl w:ilvl="4" w:tplc="041A0019" w:tentative="1">
      <w:start w:val="1"/>
      <w:numFmt w:val="lowerLetter"/>
      <w:lvlText w:val="%5."/>
      <w:lvlJc w:val="left"/>
      <w:pPr>
        <w:ind w:left="5648" w:hanging="360"/>
      </w:pPr>
    </w:lvl>
    <w:lvl w:ilvl="5" w:tplc="041A001B" w:tentative="1">
      <w:start w:val="1"/>
      <w:numFmt w:val="lowerRoman"/>
      <w:lvlText w:val="%6."/>
      <w:lvlJc w:val="right"/>
      <w:pPr>
        <w:ind w:left="6368" w:hanging="180"/>
      </w:pPr>
    </w:lvl>
    <w:lvl w:ilvl="6" w:tplc="041A000F" w:tentative="1">
      <w:start w:val="1"/>
      <w:numFmt w:val="decimal"/>
      <w:lvlText w:val="%7."/>
      <w:lvlJc w:val="left"/>
      <w:pPr>
        <w:ind w:left="7088" w:hanging="360"/>
      </w:pPr>
    </w:lvl>
    <w:lvl w:ilvl="7" w:tplc="041A0019" w:tentative="1">
      <w:start w:val="1"/>
      <w:numFmt w:val="lowerLetter"/>
      <w:lvlText w:val="%8."/>
      <w:lvlJc w:val="left"/>
      <w:pPr>
        <w:ind w:left="7808" w:hanging="360"/>
      </w:pPr>
    </w:lvl>
    <w:lvl w:ilvl="8" w:tplc="041A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14" w15:restartNumberingAfterBreak="0">
    <w:nsid w:val="79DA6CF1"/>
    <w:multiLevelType w:val="hybridMultilevel"/>
    <w:tmpl w:val="A3381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305451">
    <w:abstractNumId w:val="14"/>
  </w:num>
  <w:num w:numId="2" w16cid:durableId="1150907758">
    <w:abstractNumId w:val="11"/>
  </w:num>
  <w:num w:numId="3" w16cid:durableId="507446956">
    <w:abstractNumId w:val="6"/>
  </w:num>
  <w:num w:numId="4" w16cid:durableId="512111101">
    <w:abstractNumId w:val="2"/>
  </w:num>
  <w:num w:numId="5" w16cid:durableId="214046856">
    <w:abstractNumId w:val="12"/>
  </w:num>
  <w:num w:numId="6" w16cid:durableId="396830191">
    <w:abstractNumId w:val="1"/>
  </w:num>
  <w:num w:numId="7" w16cid:durableId="1191724546">
    <w:abstractNumId w:val="3"/>
  </w:num>
  <w:num w:numId="8" w16cid:durableId="426585577">
    <w:abstractNumId w:val="4"/>
  </w:num>
  <w:num w:numId="9" w16cid:durableId="1988432526">
    <w:abstractNumId w:val="7"/>
  </w:num>
  <w:num w:numId="10" w16cid:durableId="1667709953">
    <w:abstractNumId w:val="9"/>
  </w:num>
  <w:num w:numId="11" w16cid:durableId="1659502605">
    <w:abstractNumId w:val="10"/>
  </w:num>
  <w:num w:numId="12" w16cid:durableId="818612559">
    <w:abstractNumId w:val="8"/>
  </w:num>
  <w:num w:numId="13" w16cid:durableId="217785931">
    <w:abstractNumId w:val="5"/>
  </w:num>
  <w:num w:numId="14" w16cid:durableId="791633861">
    <w:abstractNumId w:val="0"/>
  </w:num>
  <w:num w:numId="15" w16cid:durableId="639311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92"/>
    <w:rsid w:val="00000113"/>
    <w:rsid w:val="000248C2"/>
    <w:rsid w:val="00036AF2"/>
    <w:rsid w:val="00037E1A"/>
    <w:rsid w:val="00056618"/>
    <w:rsid w:val="00060109"/>
    <w:rsid w:val="00073766"/>
    <w:rsid w:val="00085AC0"/>
    <w:rsid w:val="0009393F"/>
    <w:rsid w:val="000B064B"/>
    <w:rsid w:val="000C6E6D"/>
    <w:rsid w:val="000C7FA9"/>
    <w:rsid w:val="000D128E"/>
    <w:rsid w:val="000E568E"/>
    <w:rsid w:val="001050E9"/>
    <w:rsid w:val="001105F8"/>
    <w:rsid w:val="00116F29"/>
    <w:rsid w:val="00117AE2"/>
    <w:rsid w:val="00124AA8"/>
    <w:rsid w:val="00125A95"/>
    <w:rsid w:val="0013189C"/>
    <w:rsid w:val="00147AF6"/>
    <w:rsid w:val="001530CF"/>
    <w:rsid w:val="00187EFC"/>
    <w:rsid w:val="00194BB5"/>
    <w:rsid w:val="00194E56"/>
    <w:rsid w:val="001A0B47"/>
    <w:rsid w:val="001A2602"/>
    <w:rsid w:val="001C5B5C"/>
    <w:rsid w:val="001D0D63"/>
    <w:rsid w:val="001F5928"/>
    <w:rsid w:val="001F78A1"/>
    <w:rsid w:val="002077DD"/>
    <w:rsid w:val="00250C44"/>
    <w:rsid w:val="0029083A"/>
    <w:rsid w:val="002A1B4A"/>
    <w:rsid w:val="002A353B"/>
    <w:rsid w:val="002A7F66"/>
    <w:rsid w:val="002B6F1E"/>
    <w:rsid w:val="002B7BDE"/>
    <w:rsid w:val="002E7440"/>
    <w:rsid w:val="002F32B1"/>
    <w:rsid w:val="00326236"/>
    <w:rsid w:val="0034627E"/>
    <w:rsid w:val="0035082C"/>
    <w:rsid w:val="00354E89"/>
    <w:rsid w:val="0037767A"/>
    <w:rsid w:val="0038341D"/>
    <w:rsid w:val="00395DA2"/>
    <w:rsid w:val="003A3CC7"/>
    <w:rsid w:val="003A4AFD"/>
    <w:rsid w:val="003C24DA"/>
    <w:rsid w:val="003C65F4"/>
    <w:rsid w:val="003E3F13"/>
    <w:rsid w:val="00426CF5"/>
    <w:rsid w:val="004364B5"/>
    <w:rsid w:val="0043719F"/>
    <w:rsid w:val="00437A4C"/>
    <w:rsid w:val="0044282C"/>
    <w:rsid w:val="00452B17"/>
    <w:rsid w:val="0045649C"/>
    <w:rsid w:val="00482B3E"/>
    <w:rsid w:val="004A1839"/>
    <w:rsid w:val="004A5D14"/>
    <w:rsid w:val="004C44CD"/>
    <w:rsid w:val="004D23D0"/>
    <w:rsid w:val="004F7556"/>
    <w:rsid w:val="00506EFF"/>
    <w:rsid w:val="00524FEB"/>
    <w:rsid w:val="00531413"/>
    <w:rsid w:val="00550A7A"/>
    <w:rsid w:val="00555592"/>
    <w:rsid w:val="00580EF7"/>
    <w:rsid w:val="005A4EF1"/>
    <w:rsid w:val="005A6225"/>
    <w:rsid w:val="005A7223"/>
    <w:rsid w:val="005B3C48"/>
    <w:rsid w:val="005B5B18"/>
    <w:rsid w:val="005D50C3"/>
    <w:rsid w:val="005D77E2"/>
    <w:rsid w:val="005E3D5F"/>
    <w:rsid w:val="005F38FB"/>
    <w:rsid w:val="005F3FB2"/>
    <w:rsid w:val="006175CA"/>
    <w:rsid w:val="00642237"/>
    <w:rsid w:val="006455E6"/>
    <w:rsid w:val="00647918"/>
    <w:rsid w:val="00665356"/>
    <w:rsid w:val="00691E32"/>
    <w:rsid w:val="006936F7"/>
    <w:rsid w:val="006A0774"/>
    <w:rsid w:val="006A1C7C"/>
    <w:rsid w:val="006A1EB3"/>
    <w:rsid w:val="006C213B"/>
    <w:rsid w:val="006C68AD"/>
    <w:rsid w:val="006E2876"/>
    <w:rsid w:val="006E50A6"/>
    <w:rsid w:val="006F6BAE"/>
    <w:rsid w:val="0070202A"/>
    <w:rsid w:val="00712B0D"/>
    <w:rsid w:val="00720100"/>
    <w:rsid w:val="00733A5C"/>
    <w:rsid w:val="0074125F"/>
    <w:rsid w:val="00752461"/>
    <w:rsid w:val="00757F21"/>
    <w:rsid w:val="007D1091"/>
    <w:rsid w:val="007D6DB8"/>
    <w:rsid w:val="007F4401"/>
    <w:rsid w:val="007F7347"/>
    <w:rsid w:val="007F7CF8"/>
    <w:rsid w:val="00827599"/>
    <w:rsid w:val="0082775A"/>
    <w:rsid w:val="0084251A"/>
    <w:rsid w:val="00884E92"/>
    <w:rsid w:val="00900E6B"/>
    <w:rsid w:val="00922972"/>
    <w:rsid w:val="009267D8"/>
    <w:rsid w:val="009428C0"/>
    <w:rsid w:val="00954DE9"/>
    <w:rsid w:val="0095576A"/>
    <w:rsid w:val="009811D0"/>
    <w:rsid w:val="009818E1"/>
    <w:rsid w:val="009A3260"/>
    <w:rsid w:val="009C4BF6"/>
    <w:rsid w:val="009C5707"/>
    <w:rsid w:val="009D51D2"/>
    <w:rsid w:val="009E6CB1"/>
    <w:rsid w:val="009F1865"/>
    <w:rsid w:val="00A11AEA"/>
    <w:rsid w:val="00A31B73"/>
    <w:rsid w:val="00A542E5"/>
    <w:rsid w:val="00A567A1"/>
    <w:rsid w:val="00A77285"/>
    <w:rsid w:val="00AA24A3"/>
    <w:rsid w:val="00AA48EC"/>
    <w:rsid w:val="00AA6927"/>
    <w:rsid w:val="00AB2406"/>
    <w:rsid w:val="00AC4C21"/>
    <w:rsid w:val="00AC705D"/>
    <w:rsid w:val="00AD1DD0"/>
    <w:rsid w:val="00B2305E"/>
    <w:rsid w:val="00B27F33"/>
    <w:rsid w:val="00B33314"/>
    <w:rsid w:val="00B35435"/>
    <w:rsid w:val="00B41883"/>
    <w:rsid w:val="00B55720"/>
    <w:rsid w:val="00B67624"/>
    <w:rsid w:val="00B71DF5"/>
    <w:rsid w:val="00B76812"/>
    <w:rsid w:val="00B776E3"/>
    <w:rsid w:val="00B95ADA"/>
    <w:rsid w:val="00BA04E0"/>
    <w:rsid w:val="00BB15AC"/>
    <w:rsid w:val="00BB6DE8"/>
    <w:rsid w:val="00BD31C0"/>
    <w:rsid w:val="00BF2214"/>
    <w:rsid w:val="00BF48F6"/>
    <w:rsid w:val="00C178A1"/>
    <w:rsid w:val="00C2703C"/>
    <w:rsid w:val="00C27A16"/>
    <w:rsid w:val="00C4713E"/>
    <w:rsid w:val="00C50B2D"/>
    <w:rsid w:val="00C542F9"/>
    <w:rsid w:val="00C5513D"/>
    <w:rsid w:val="00C65C36"/>
    <w:rsid w:val="00C847B5"/>
    <w:rsid w:val="00C94E8F"/>
    <w:rsid w:val="00CE19EE"/>
    <w:rsid w:val="00CE4B3B"/>
    <w:rsid w:val="00CF2395"/>
    <w:rsid w:val="00CF4739"/>
    <w:rsid w:val="00D01139"/>
    <w:rsid w:val="00D14E8F"/>
    <w:rsid w:val="00D2383D"/>
    <w:rsid w:val="00D50432"/>
    <w:rsid w:val="00D53705"/>
    <w:rsid w:val="00D5767E"/>
    <w:rsid w:val="00D85291"/>
    <w:rsid w:val="00D92008"/>
    <w:rsid w:val="00DC15B0"/>
    <w:rsid w:val="00DC37B4"/>
    <w:rsid w:val="00DC7D5F"/>
    <w:rsid w:val="00DD546C"/>
    <w:rsid w:val="00DF08A0"/>
    <w:rsid w:val="00E04AB9"/>
    <w:rsid w:val="00E16B18"/>
    <w:rsid w:val="00E26F60"/>
    <w:rsid w:val="00E34B80"/>
    <w:rsid w:val="00E35876"/>
    <w:rsid w:val="00E63B48"/>
    <w:rsid w:val="00E67792"/>
    <w:rsid w:val="00EC25A0"/>
    <w:rsid w:val="00ED0CCF"/>
    <w:rsid w:val="00F01840"/>
    <w:rsid w:val="00F04C3C"/>
    <w:rsid w:val="00F10A7F"/>
    <w:rsid w:val="00F319B2"/>
    <w:rsid w:val="00F41D78"/>
    <w:rsid w:val="00F51893"/>
    <w:rsid w:val="00F60555"/>
    <w:rsid w:val="00F74418"/>
    <w:rsid w:val="00F77E57"/>
    <w:rsid w:val="00F83399"/>
    <w:rsid w:val="00FA0CE7"/>
    <w:rsid w:val="00FB3430"/>
    <w:rsid w:val="00FB4269"/>
    <w:rsid w:val="00FD44C0"/>
    <w:rsid w:val="00FE530C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FD38-3EB8-4D3E-BA0C-DFE3B7F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5592"/>
    <w:pPr>
      <w:ind w:left="720"/>
      <w:contextualSpacing/>
    </w:pPr>
  </w:style>
  <w:style w:type="paragraph" w:styleId="Bezproreda">
    <w:name w:val="No Spacing"/>
    <w:uiPriority w:val="1"/>
    <w:qFormat/>
    <w:rsid w:val="00DF08A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E8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37A4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7A4C"/>
    <w:rPr>
      <w:color w:val="800080"/>
      <w:u w:val="single"/>
    </w:rPr>
  </w:style>
  <w:style w:type="paragraph" w:customStyle="1" w:styleId="xl68">
    <w:name w:val="xl68"/>
    <w:basedOn w:val="Normal"/>
    <w:rsid w:val="00437A4C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437A4C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437A4C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437A4C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437A4C"/>
    <w:pPr>
      <w:shd w:val="clear" w:color="000000" w:fill="1F497D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437A4C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437A4C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437A4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437A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437A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43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437A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437A4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437A4C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437A4C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437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437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437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437A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437A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437A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437A4C"/>
    <w:pP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437A4C"/>
    <w:pPr>
      <w:shd w:val="clear" w:color="000000" w:fill="1F49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1">
    <w:name w:val="xl91"/>
    <w:basedOn w:val="Normal"/>
    <w:rsid w:val="00437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437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437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437A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437A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437A4C"/>
    <w:pPr>
      <w:shd w:val="clear" w:color="000000" w:fill="1F49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97">
    <w:name w:val="xl97"/>
    <w:basedOn w:val="Normal"/>
    <w:rsid w:val="00437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8">
    <w:name w:val="xl98"/>
    <w:basedOn w:val="Normal"/>
    <w:rsid w:val="00437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9">
    <w:name w:val="xl99"/>
    <w:basedOn w:val="Normal"/>
    <w:rsid w:val="00437A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437A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43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3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Normal"/>
    <w:rsid w:val="00436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436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436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105">
    <w:name w:val="xl105"/>
    <w:basedOn w:val="Normal"/>
    <w:rsid w:val="00436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4970-67C6-4FC6-88E1-E0047382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Zdravko Melinček</cp:lastModifiedBy>
  <cp:revision>2</cp:revision>
  <cp:lastPrinted>2022-12-28T07:40:00Z</cp:lastPrinted>
  <dcterms:created xsi:type="dcterms:W3CDTF">2023-07-31T13:00:00Z</dcterms:created>
  <dcterms:modified xsi:type="dcterms:W3CDTF">2023-07-31T13:00:00Z</dcterms:modified>
</cp:coreProperties>
</file>