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A0" w:rsidRDefault="00DF08A0" w:rsidP="00DF08A0">
      <w:pPr>
        <w:pStyle w:val="Bezproreda"/>
      </w:pPr>
    </w:p>
    <w:p w:rsidR="00DF08A0" w:rsidRPr="006C77BB" w:rsidRDefault="00DF08A0" w:rsidP="006C77BB">
      <w:pPr>
        <w:pStyle w:val="Bezproreda"/>
        <w:spacing w:line="276" w:lineRule="auto"/>
        <w:rPr>
          <w:rFonts w:ascii="Times New Roman" w:hAnsi="Times New Roman" w:cs="Times New Roman"/>
          <w:b/>
          <w:sz w:val="32"/>
          <w:szCs w:val="32"/>
        </w:rPr>
      </w:pPr>
      <w:r w:rsidRPr="006C77BB">
        <w:rPr>
          <w:rFonts w:ascii="Times New Roman" w:hAnsi="Times New Roman" w:cs="Times New Roman"/>
          <w:b/>
          <w:sz w:val="32"/>
          <w:szCs w:val="32"/>
        </w:rPr>
        <w:t>DOM ZA STARIJE I NEMOĆNE OSOBE VARAŽDIN</w:t>
      </w:r>
    </w:p>
    <w:p w:rsidR="00DF08A0" w:rsidRPr="006C77BB" w:rsidRDefault="00DF08A0" w:rsidP="006C77BB">
      <w:pPr>
        <w:pStyle w:val="Bezproreda"/>
        <w:spacing w:line="276" w:lineRule="auto"/>
        <w:rPr>
          <w:rFonts w:ascii="Times New Roman" w:hAnsi="Times New Roman" w:cs="Times New Roman"/>
          <w:b/>
          <w:sz w:val="32"/>
          <w:szCs w:val="32"/>
        </w:rPr>
      </w:pPr>
      <w:r w:rsidRPr="006C77BB">
        <w:rPr>
          <w:rFonts w:ascii="Times New Roman" w:hAnsi="Times New Roman" w:cs="Times New Roman"/>
          <w:sz w:val="32"/>
          <w:szCs w:val="32"/>
        </w:rPr>
        <w:t>Zavojna 6, 42000 Varaždin</w:t>
      </w: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6C77BB" w:rsidRDefault="006C77BB" w:rsidP="00555592">
      <w:pPr>
        <w:spacing w:after="120"/>
        <w:jc w:val="center"/>
        <w:rPr>
          <w:rFonts w:ascii="Times New Roman" w:hAnsi="Times New Roman" w:cs="Times New Roman"/>
          <w:b/>
          <w:sz w:val="24"/>
          <w:szCs w:val="24"/>
        </w:rPr>
      </w:pPr>
    </w:p>
    <w:p w:rsidR="006C77BB" w:rsidRDefault="006C77BB" w:rsidP="00555592">
      <w:pPr>
        <w:spacing w:after="120"/>
        <w:jc w:val="center"/>
        <w:rPr>
          <w:rFonts w:ascii="Times New Roman" w:hAnsi="Times New Roman" w:cs="Times New Roman"/>
          <w:b/>
          <w:sz w:val="24"/>
          <w:szCs w:val="24"/>
        </w:rPr>
      </w:pPr>
    </w:p>
    <w:p w:rsidR="00B64EB8" w:rsidRDefault="00B64EB8"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F74418" w:rsidRDefault="00F74418" w:rsidP="00555592">
      <w:pPr>
        <w:spacing w:after="120"/>
        <w:jc w:val="center"/>
        <w:rPr>
          <w:rFonts w:ascii="Times New Roman" w:hAnsi="Times New Roman" w:cs="Times New Roman"/>
          <w:b/>
          <w:sz w:val="24"/>
          <w:szCs w:val="24"/>
        </w:rPr>
      </w:pPr>
    </w:p>
    <w:p w:rsidR="0084251A" w:rsidRDefault="0084251A" w:rsidP="00555592">
      <w:pPr>
        <w:spacing w:after="120"/>
        <w:jc w:val="center"/>
        <w:rPr>
          <w:rFonts w:ascii="Times New Roman" w:hAnsi="Times New Roman" w:cs="Times New Roman"/>
          <w:b/>
          <w:sz w:val="24"/>
          <w:szCs w:val="24"/>
        </w:rPr>
      </w:pPr>
    </w:p>
    <w:p w:rsidR="00F74418" w:rsidRDefault="00B8475F" w:rsidP="001171BA">
      <w:pPr>
        <w:spacing w:after="120"/>
        <w:jc w:val="center"/>
        <w:rPr>
          <w:rFonts w:ascii="Times New Roman" w:hAnsi="Times New Roman" w:cs="Times New Roman"/>
          <w:b/>
          <w:sz w:val="48"/>
          <w:szCs w:val="48"/>
        </w:rPr>
      </w:pPr>
      <w:r>
        <w:rPr>
          <w:rFonts w:ascii="Times New Roman" w:hAnsi="Times New Roman" w:cs="Times New Roman"/>
          <w:b/>
          <w:sz w:val="48"/>
          <w:szCs w:val="48"/>
        </w:rPr>
        <w:t>PRIJEDLOG</w:t>
      </w:r>
    </w:p>
    <w:p w:rsidR="008A78E4" w:rsidRPr="008A78E4" w:rsidRDefault="008A78E4" w:rsidP="00D2760D">
      <w:pPr>
        <w:pStyle w:val="Odlomakpopisa"/>
        <w:numPr>
          <w:ilvl w:val="0"/>
          <w:numId w:val="22"/>
        </w:numPr>
        <w:spacing w:after="120"/>
        <w:ind w:left="0" w:firstLine="0"/>
        <w:jc w:val="center"/>
        <w:rPr>
          <w:rFonts w:ascii="Times New Roman" w:hAnsi="Times New Roman" w:cs="Times New Roman"/>
          <w:b/>
          <w:sz w:val="48"/>
          <w:szCs w:val="48"/>
        </w:rPr>
      </w:pPr>
      <w:r>
        <w:rPr>
          <w:rFonts w:ascii="Times New Roman" w:hAnsi="Times New Roman" w:cs="Times New Roman"/>
          <w:b/>
          <w:sz w:val="48"/>
          <w:szCs w:val="48"/>
        </w:rPr>
        <w:t>IZMJENA I DOPUNA</w:t>
      </w:r>
    </w:p>
    <w:p w:rsidR="00DF08A0" w:rsidRPr="00F74418" w:rsidRDefault="00F74418" w:rsidP="00F74418">
      <w:pPr>
        <w:pStyle w:val="Odlomakpopisa"/>
        <w:spacing w:after="120"/>
        <w:ind w:left="0"/>
        <w:jc w:val="center"/>
        <w:rPr>
          <w:rFonts w:ascii="Times New Roman" w:hAnsi="Times New Roman" w:cs="Times New Roman"/>
          <w:b/>
          <w:sz w:val="48"/>
          <w:szCs w:val="48"/>
        </w:rPr>
      </w:pPr>
      <w:r>
        <w:rPr>
          <w:rFonts w:ascii="Times New Roman" w:hAnsi="Times New Roman" w:cs="Times New Roman"/>
          <w:b/>
          <w:sz w:val="48"/>
          <w:szCs w:val="48"/>
        </w:rPr>
        <w:t>FINANCIJSKOG</w:t>
      </w:r>
      <w:r w:rsidR="00DF08A0" w:rsidRPr="00F74418">
        <w:rPr>
          <w:rFonts w:ascii="Times New Roman" w:hAnsi="Times New Roman" w:cs="Times New Roman"/>
          <w:b/>
          <w:sz w:val="48"/>
          <w:szCs w:val="48"/>
        </w:rPr>
        <w:t xml:space="preserve"> PLAN</w:t>
      </w:r>
      <w:r>
        <w:rPr>
          <w:rFonts w:ascii="Times New Roman" w:hAnsi="Times New Roman" w:cs="Times New Roman"/>
          <w:b/>
          <w:sz w:val="48"/>
          <w:szCs w:val="48"/>
        </w:rPr>
        <w:t>A</w:t>
      </w:r>
    </w:p>
    <w:p w:rsidR="00F74418" w:rsidRDefault="00DF08A0" w:rsidP="00F74418">
      <w:pPr>
        <w:spacing w:after="120"/>
        <w:jc w:val="center"/>
        <w:rPr>
          <w:rFonts w:ascii="Times New Roman" w:hAnsi="Times New Roman" w:cs="Times New Roman"/>
          <w:b/>
          <w:sz w:val="48"/>
          <w:szCs w:val="48"/>
        </w:rPr>
      </w:pPr>
      <w:r w:rsidRPr="0074125F">
        <w:rPr>
          <w:rFonts w:ascii="Times New Roman" w:hAnsi="Times New Roman" w:cs="Times New Roman"/>
          <w:b/>
          <w:sz w:val="48"/>
          <w:szCs w:val="48"/>
        </w:rPr>
        <w:t>DOMA ZA ST</w:t>
      </w:r>
      <w:r w:rsidR="0074125F" w:rsidRPr="0074125F">
        <w:rPr>
          <w:rFonts w:ascii="Times New Roman" w:hAnsi="Times New Roman" w:cs="Times New Roman"/>
          <w:b/>
          <w:sz w:val="48"/>
          <w:szCs w:val="48"/>
        </w:rPr>
        <w:t xml:space="preserve">ARIJE I NEMOĆNE OSOBE VARAŽDIN </w:t>
      </w:r>
    </w:p>
    <w:p w:rsidR="001171BA" w:rsidRPr="0074125F" w:rsidRDefault="001171BA" w:rsidP="008A78E4">
      <w:pPr>
        <w:spacing w:after="120"/>
        <w:jc w:val="center"/>
        <w:rPr>
          <w:rFonts w:ascii="Times New Roman" w:hAnsi="Times New Roman" w:cs="Times New Roman"/>
          <w:b/>
          <w:sz w:val="48"/>
          <w:szCs w:val="48"/>
        </w:rPr>
      </w:pPr>
      <w:r>
        <w:rPr>
          <w:rFonts w:ascii="Times New Roman" w:hAnsi="Times New Roman" w:cs="Times New Roman"/>
          <w:b/>
          <w:sz w:val="48"/>
          <w:szCs w:val="48"/>
        </w:rPr>
        <w:t>ZA 2024</w:t>
      </w:r>
      <w:r w:rsidR="00DF08A0" w:rsidRPr="0074125F">
        <w:rPr>
          <w:rFonts w:ascii="Times New Roman" w:hAnsi="Times New Roman" w:cs="Times New Roman"/>
          <w:b/>
          <w:sz w:val="48"/>
          <w:szCs w:val="48"/>
        </w:rPr>
        <w:t>. GODINU</w:t>
      </w:r>
    </w:p>
    <w:p w:rsidR="0074125F" w:rsidRPr="0074125F" w:rsidRDefault="00F74418" w:rsidP="0074125F">
      <w:pPr>
        <w:spacing w:after="120"/>
        <w:jc w:val="center"/>
        <w:rPr>
          <w:rFonts w:ascii="Times New Roman" w:hAnsi="Times New Roman" w:cs="Times New Roman"/>
          <w:b/>
          <w:sz w:val="48"/>
          <w:szCs w:val="48"/>
        </w:rPr>
      </w:pPr>
      <w:r>
        <w:rPr>
          <w:rFonts w:ascii="Times New Roman" w:hAnsi="Times New Roman" w:cs="Times New Roman"/>
          <w:b/>
          <w:sz w:val="48"/>
          <w:szCs w:val="48"/>
        </w:rPr>
        <w:t xml:space="preserve"> </w:t>
      </w: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sectPr w:rsidR="00DF08A0" w:rsidSect="00DF08A0">
          <w:pgSz w:w="11906" w:h="16838"/>
          <w:pgMar w:top="1418" w:right="1418" w:bottom="1418" w:left="1418" w:header="709" w:footer="709" w:gutter="0"/>
          <w:cols w:space="708"/>
          <w:docGrid w:linePitch="360"/>
        </w:sectPr>
      </w:pPr>
    </w:p>
    <w:p w:rsidR="00BF48F6" w:rsidRPr="00E118BC" w:rsidRDefault="00D01139" w:rsidP="005F0418">
      <w:pPr>
        <w:spacing w:after="240"/>
        <w:jc w:val="both"/>
        <w:rPr>
          <w:rFonts w:ascii="Times New Roman" w:hAnsi="Times New Roman" w:cs="Times New Roman"/>
          <w:sz w:val="24"/>
          <w:szCs w:val="24"/>
        </w:rPr>
      </w:pPr>
      <w:r>
        <w:rPr>
          <w:rFonts w:ascii="Times New Roman" w:hAnsi="Times New Roman" w:cs="Times New Roman"/>
          <w:b/>
          <w:sz w:val="24"/>
          <w:szCs w:val="24"/>
        </w:rPr>
        <w:lastRenderedPageBreak/>
        <w:tab/>
      </w:r>
      <w:r w:rsidRPr="00E118BC">
        <w:rPr>
          <w:rFonts w:ascii="Times New Roman" w:hAnsi="Times New Roman" w:cs="Times New Roman"/>
          <w:sz w:val="24"/>
          <w:szCs w:val="24"/>
        </w:rPr>
        <w:t xml:space="preserve">Temeljem odredbi </w:t>
      </w:r>
      <w:r w:rsidR="00782E75" w:rsidRPr="00E118BC">
        <w:rPr>
          <w:rFonts w:ascii="Times New Roman" w:hAnsi="Times New Roman" w:cs="Times New Roman"/>
          <w:sz w:val="24"/>
          <w:szCs w:val="24"/>
        </w:rPr>
        <w:t>članka 38. stavka 3</w:t>
      </w:r>
      <w:r w:rsidRPr="00E118BC">
        <w:rPr>
          <w:rFonts w:ascii="Times New Roman" w:hAnsi="Times New Roman" w:cs="Times New Roman"/>
          <w:sz w:val="24"/>
          <w:szCs w:val="24"/>
        </w:rPr>
        <w:t>.</w:t>
      </w:r>
      <w:r w:rsidR="00E118BC" w:rsidRPr="00E118BC">
        <w:rPr>
          <w:rFonts w:ascii="Times New Roman" w:hAnsi="Times New Roman" w:cs="Times New Roman"/>
          <w:sz w:val="24"/>
          <w:szCs w:val="24"/>
        </w:rPr>
        <w:t>, članka 46. stavka 2.</w:t>
      </w:r>
      <w:r w:rsidRPr="00E118BC">
        <w:rPr>
          <w:rFonts w:ascii="Times New Roman" w:hAnsi="Times New Roman" w:cs="Times New Roman"/>
          <w:sz w:val="24"/>
          <w:szCs w:val="24"/>
        </w:rPr>
        <w:t xml:space="preserve"> Zakona o proračunu (NN 144/21) i </w:t>
      </w:r>
      <w:r w:rsidR="005D50C3" w:rsidRPr="00E118BC">
        <w:rPr>
          <w:rFonts w:ascii="Times New Roman" w:hAnsi="Times New Roman" w:cs="Times New Roman"/>
          <w:sz w:val="24"/>
          <w:szCs w:val="24"/>
        </w:rPr>
        <w:t>članka 29</w:t>
      </w:r>
      <w:r w:rsidRPr="00E118BC">
        <w:rPr>
          <w:rFonts w:ascii="Times New Roman" w:hAnsi="Times New Roman" w:cs="Times New Roman"/>
          <w:sz w:val="24"/>
          <w:szCs w:val="24"/>
        </w:rPr>
        <w:t>. Statuta Doma za starije i nemoćn</w:t>
      </w:r>
      <w:r w:rsidR="005D50C3" w:rsidRPr="00E118BC">
        <w:rPr>
          <w:rFonts w:ascii="Times New Roman" w:hAnsi="Times New Roman" w:cs="Times New Roman"/>
          <w:sz w:val="24"/>
          <w:szCs w:val="24"/>
        </w:rPr>
        <w:t>e osobe Varaždin (URBROJ: 2186-1-25/01-23/36-16-1</w:t>
      </w:r>
      <w:r w:rsidR="00643DCE">
        <w:rPr>
          <w:rFonts w:ascii="Times New Roman" w:hAnsi="Times New Roman" w:cs="Times New Roman"/>
          <w:sz w:val="24"/>
          <w:szCs w:val="24"/>
        </w:rPr>
        <w:t xml:space="preserve"> i 2186-1-25/01-24/57-11-1</w:t>
      </w:r>
      <w:r w:rsidRPr="00E118BC">
        <w:rPr>
          <w:rFonts w:ascii="Times New Roman" w:hAnsi="Times New Roman" w:cs="Times New Roman"/>
          <w:sz w:val="24"/>
          <w:szCs w:val="24"/>
        </w:rPr>
        <w:t>), Upravno vij</w:t>
      </w:r>
      <w:r w:rsidR="000248C2" w:rsidRPr="00E118BC">
        <w:rPr>
          <w:rFonts w:ascii="Times New Roman" w:hAnsi="Times New Roman" w:cs="Times New Roman"/>
          <w:sz w:val="24"/>
          <w:szCs w:val="24"/>
        </w:rPr>
        <w:t xml:space="preserve">eće na sjednici održanoj dana </w:t>
      </w:r>
      <w:r w:rsidR="00643DCE">
        <w:rPr>
          <w:rFonts w:ascii="Times New Roman" w:hAnsi="Times New Roman" w:cs="Times New Roman"/>
          <w:sz w:val="24"/>
          <w:szCs w:val="24"/>
        </w:rPr>
        <w:t>30.08</w:t>
      </w:r>
      <w:r w:rsidR="00E118BC" w:rsidRPr="00E118BC">
        <w:rPr>
          <w:rFonts w:ascii="Times New Roman" w:hAnsi="Times New Roman" w:cs="Times New Roman"/>
          <w:sz w:val="24"/>
          <w:szCs w:val="24"/>
        </w:rPr>
        <w:t>.2024</w:t>
      </w:r>
      <w:r w:rsidRPr="00E118BC">
        <w:rPr>
          <w:rFonts w:ascii="Times New Roman" w:hAnsi="Times New Roman" w:cs="Times New Roman"/>
          <w:sz w:val="24"/>
          <w:szCs w:val="24"/>
        </w:rPr>
        <w:t>. godine donosi:</w:t>
      </w:r>
    </w:p>
    <w:p w:rsidR="000248C2" w:rsidRDefault="00782E75" w:rsidP="00BA5F09">
      <w:pPr>
        <w:pStyle w:val="Odlomakpopisa"/>
        <w:spacing w:after="120"/>
        <w:ind w:left="284"/>
        <w:jc w:val="center"/>
        <w:rPr>
          <w:rFonts w:ascii="Times New Roman" w:hAnsi="Times New Roman" w:cs="Times New Roman"/>
          <w:b/>
          <w:sz w:val="24"/>
          <w:szCs w:val="24"/>
        </w:rPr>
      </w:pPr>
      <w:r>
        <w:rPr>
          <w:rFonts w:ascii="Times New Roman" w:hAnsi="Times New Roman" w:cs="Times New Roman"/>
          <w:b/>
          <w:sz w:val="24"/>
          <w:szCs w:val="24"/>
        </w:rPr>
        <w:t>PRIJEDLOG</w:t>
      </w:r>
      <w:r w:rsidR="00B64EB8">
        <w:rPr>
          <w:rFonts w:ascii="Times New Roman" w:hAnsi="Times New Roman" w:cs="Times New Roman"/>
          <w:b/>
          <w:sz w:val="24"/>
          <w:szCs w:val="24"/>
        </w:rPr>
        <w:t xml:space="preserve"> I. IZMJENA I DOPUNA</w:t>
      </w:r>
      <w:r>
        <w:rPr>
          <w:rFonts w:ascii="Times New Roman" w:hAnsi="Times New Roman" w:cs="Times New Roman"/>
          <w:b/>
          <w:sz w:val="24"/>
          <w:szCs w:val="24"/>
        </w:rPr>
        <w:t xml:space="preserve"> </w:t>
      </w:r>
      <w:r w:rsidR="00D15029">
        <w:rPr>
          <w:rFonts w:ascii="Times New Roman" w:hAnsi="Times New Roman" w:cs="Times New Roman"/>
          <w:b/>
          <w:sz w:val="24"/>
          <w:szCs w:val="24"/>
        </w:rPr>
        <w:t>FINANCIJSKOG PLANA</w:t>
      </w:r>
    </w:p>
    <w:p w:rsidR="00782E75" w:rsidRDefault="00D15029" w:rsidP="00B64EB8">
      <w:pPr>
        <w:pStyle w:val="Odlomakpopisa"/>
        <w:spacing w:after="120"/>
        <w:ind w:left="0"/>
        <w:jc w:val="center"/>
        <w:rPr>
          <w:rFonts w:ascii="Times New Roman" w:hAnsi="Times New Roman" w:cs="Times New Roman"/>
          <w:b/>
          <w:sz w:val="24"/>
          <w:szCs w:val="24"/>
        </w:rPr>
      </w:pPr>
      <w:r>
        <w:rPr>
          <w:rFonts w:ascii="Times New Roman" w:hAnsi="Times New Roman" w:cs="Times New Roman"/>
          <w:b/>
          <w:sz w:val="24"/>
          <w:szCs w:val="24"/>
        </w:rPr>
        <w:t>DOMA ZA STARIJE I NEMOĆNE OSOBE VARAŽDIN ZA</w:t>
      </w:r>
      <w:r w:rsidR="00782E75">
        <w:rPr>
          <w:rFonts w:ascii="Times New Roman" w:hAnsi="Times New Roman" w:cs="Times New Roman"/>
          <w:b/>
          <w:sz w:val="24"/>
          <w:szCs w:val="24"/>
        </w:rPr>
        <w:t xml:space="preserve"> 2024</w:t>
      </w:r>
      <w:r w:rsidR="00D2383D" w:rsidRPr="000248C2">
        <w:rPr>
          <w:rFonts w:ascii="Times New Roman" w:hAnsi="Times New Roman" w:cs="Times New Roman"/>
          <w:b/>
          <w:sz w:val="24"/>
          <w:szCs w:val="24"/>
        </w:rPr>
        <w:t xml:space="preserve">. </w:t>
      </w:r>
      <w:r>
        <w:rPr>
          <w:rFonts w:ascii="Times New Roman" w:hAnsi="Times New Roman" w:cs="Times New Roman"/>
          <w:b/>
          <w:sz w:val="24"/>
          <w:szCs w:val="24"/>
        </w:rPr>
        <w:t>GODINU</w:t>
      </w:r>
    </w:p>
    <w:p w:rsidR="00AA6927" w:rsidRDefault="00AA6927" w:rsidP="00D15029">
      <w:pPr>
        <w:pStyle w:val="Odlomakpopisa"/>
        <w:spacing w:after="120"/>
        <w:ind w:left="0"/>
        <w:jc w:val="center"/>
        <w:rPr>
          <w:rFonts w:ascii="Times New Roman" w:hAnsi="Times New Roman" w:cs="Times New Roman"/>
          <w:b/>
          <w:sz w:val="24"/>
          <w:szCs w:val="24"/>
        </w:rPr>
      </w:pPr>
    </w:p>
    <w:p w:rsidR="00056618" w:rsidRPr="00AA6927" w:rsidRDefault="00BF48F6" w:rsidP="00D15029">
      <w:pPr>
        <w:pStyle w:val="Odlomakpopisa"/>
        <w:numPr>
          <w:ilvl w:val="0"/>
          <w:numId w:val="11"/>
        </w:numPr>
        <w:spacing w:after="120"/>
        <w:ind w:left="709" w:hanging="491"/>
        <w:contextualSpacing w:val="0"/>
        <w:jc w:val="center"/>
        <w:rPr>
          <w:rFonts w:ascii="Times New Roman" w:hAnsi="Times New Roman" w:cs="Times New Roman"/>
          <w:b/>
          <w:sz w:val="24"/>
          <w:szCs w:val="24"/>
        </w:rPr>
      </w:pPr>
      <w:r>
        <w:rPr>
          <w:rFonts w:ascii="Times New Roman" w:hAnsi="Times New Roman" w:cs="Times New Roman"/>
          <w:b/>
          <w:sz w:val="24"/>
          <w:szCs w:val="24"/>
        </w:rPr>
        <w:t>OPĆI DIO</w:t>
      </w:r>
    </w:p>
    <w:p w:rsidR="00C65C36" w:rsidRDefault="00BF48F6" w:rsidP="005F0418">
      <w:pPr>
        <w:pStyle w:val="Odlomakpopisa"/>
        <w:spacing w:after="120"/>
        <w:ind w:left="709"/>
        <w:contextualSpacing w:val="0"/>
        <w:jc w:val="center"/>
        <w:rPr>
          <w:rFonts w:ascii="Times New Roman" w:hAnsi="Times New Roman" w:cs="Times New Roman"/>
          <w:sz w:val="24"/>
          <w:szCs w:val="24"/>
        </w:rPr>
      </w:pPr>
      <w:r w:rsidRPr="00BF48F6">
        <w:rPr>
          <w:rFonts w:ascii="Times New Roman" w:hAnsi="Times New Roman" w:cs="Times New Roman"/>
          <w:sz w:val="24"/>
          <w:szCs w:val="24"/>
        </w:rPr>
        <w:t>Članak 1.</w:t>
      </w:r>
    </w:p>
    <w:p w:rsidR="007D4BED" w:rsidRDefault="00D14E8F" w:rsidP="007D4BED">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Sažetak </w:t>
      </w:r>
      <w:r w:rsidR="00672E25">
        <w:rPr>
          <w:rFonts w:ascii="Times New Roman" w:hAnsi="Times New Roman" w:cs="Times New Roman"/>
          <w:sz w:val="24"/>
          <w:szCs w:val="24"/>
        </w:rPr>
        <w:t>Općeg dijela</w:t>
      </w:r>
      <w:r w:rsidR="00B64EB8">
        <w:rPr>
          <w:rFonts w:ascii="Times New Roman" w:hAnsi="Times New Roman" w:cs="Times New Roman"/>
          <w:sz w:val="24"/>
          <w:szCs w:val="24"/>
        </w:rPr>
        <w:t xml:space="preserve"> I. Izmjena i dopuna</w:t>
      </w:r>
      <w:r w:rsidR="00672E25">
        <w:rPr>
          <w:rFonts w:ascii="Times New Roman" w:hAnsi="Times New Roman" w:cs="Times New Roman"/>
          <w:sz w:val="24"/>
          <w:szCs w:val="24"/>
        </w:rPr>
        <w:t xml:space="preserve"> </w:t>
      </w:r>
      <w:r w:rsidR="0029083A" w:rsidRPr="00D14E8F">
        <w:rPr>
          <w:rFonts w:ascii="Times New Roman" w:hAnsi="Times New Roman" w:cs="Times New Roman"/>
          <w:sz w:val="24"/>
          <w:szCs w:val="24"/>
        </w:rPr>
        <w:t>Financijskog</w:t>
      </w:r>
      <w:r w:rsidR="00C65C36" w:rsidRPr="00D14E8F">
        <w:rPr>
          <w:rFonts w:ascii="Times New Roman" w:hAnsi="Times New Roman" w:cs="Times New Roman"/>
          <w:sz w:val="24"/>
          <w:szCs w:val="24"/>
        </w:rPr>
        <w:t xml:space="preserve"> plan</w:t>
      </w:r>
      <w:r w:rsidR="0029083A" w:rsidRPr="00D14E8F">
        <w:rPr>
          <w:rFonts w:ascii="Times New Roman" w:hAnsi="Times New Roman" w:cs="Times New Roman"/>
          <w:sz w:val="24"/>
          <w:szCs w:val="24"/>
        </w:rPr>
        <w:t>a</w:t>
      </w:r>
      <w:r w:rsidR="00C65C36" w:rsidRPr="00D14E8F">
        <w:rPr>
          <w:rFonts w:ascii="Times New Roman" w:hAnsi="Times New Roman" w:cs="Times New Roman"/>
          <w:sz w:val="24"/>
          <w:szCs w:val="24"/>
        </w:rPr>
        <w:t xml:space="preserve"> Doma za s</w:t>
      </w:r>
      <w:r w:rsidR="0029083A" w:rsidRPr="00D14E8F">
        <w:rPr>
          <w:rFonts w:ascii="Times New Roman" w:hAnsi="Times New Roman" w:cs="Times New Roman"/>
          <w:sz w:val="24"/>
          <w:szCs w:val="24"/>
        </w:rPr>
        <w:t>tarije i nemoćne osobe Varaždin</w:t>
      </w:r>
      <w:r w:rsidR="00672E25">
        <w:rPr>
          <w:rFonts w:ascii="Times New Roman" w:hAnsi="Times New Roman" w:cs="Times New Roman"/>
          <w:sz w:val="24"/>
          <w:szCs w:val="24"/>
        </w:rPr>
        <w:t xml:space="preserve"> za 2024</w:t>
      </w:r>
      <w:r w:rsidR="00C65C36" w:rsidRPr="00D14E8F">
        <w:rPr>
          <w:rFonts w:ascii="Times New Roman" w:hAnsi="Times New Roman" w:cs="Times New Roman"/>
          <w:sz w:val="24"/>
          <w:szCs w:val="24"/>
        </w:rPr>
        <w:t xml:space="preserve">. </w:t>
      </w:r>
      <w:r w:rsidR="00672E25">
        <w:rPr>
          <w:rFonts w:ascii="Times New Roman" w:hAnsi="Times New Roman" w:cs="Times New Roman"/>
          <w:sz w:val="24"/>
          <w:szCs w:val="24"/>
        </w:rPr>
        <w:t>g</w:t>
      </w:r>
      <w:r>
        <w:rPr>
          <w:rFonts w:ascii="Times New Roman" w:hAnsi="Times New Roman" w:cs="Times New Roman"/>
          <w:sz w:val="24"/>
          <w:szCs w:val="24"/>
        </w:rPr>
        <w:t>odinu</w:t>
      </w:r>
      <w:r w:rsidR="00B64EB8">
        <w:rPr>
          <w:rFonts w:ascii="Times New Roman" w:hAnsi="Times New Roman" w:cs="Times New Roman"/>
          <w:sz w:val="24"/>
          <w:szCs w:val="24"/>
        </w:rPr>
        <w:t xml:space="preserve"> </w:t>
      </w:r>
      <w:r>
        <w:rPr>
          <w:rFonts w:ascii="Times New Roman" w:hAnsi="Times New Roman" w:cs="Times New Roman"/>
          <w:sz w:val="24"/>
          <w:szCs w:val="24"/>
        </w:rPr>
        <w:t>izgleda kako slijedi</w:t>
      </w:r>
      <w:r w:rsidR="00C65C36" w:rsidRPr="00D14E8F">
        <w:rPr>
          <w:rFonts w:ascii="Times New Roman" w:hAnsi="Times New Roman" w:cs="Times New Roman"/>
          <w:sz w:val="24"/>
          <w:szCs w:val="24"/>
        </w:rPr>
        <w:t>:</w:t>
      </w:r>
    </w:p>
    <w:p w:rsidR="005F0418" w:rsidRDefault="005F0418" w:rsidP="00575143">
      <w:pPr>
        <w:pStyle w:val="Odlomakpopisa"/>
        <w:numPr>
          <w:ilvl w:val="0"/>
          <w:numId w:val="21"/>
        </w:numPr>
        <w:spacing w:after="360"/>
        <w:ind w:left="425" w:hanging="425"/>
        <w:jc w:val="both"/>
        <w:rPr>
          <w:rFonts w:ascii="Times New Roman" w:hAnsi="Times New Roman" w:cs="Times New Roman"/>
          <w:b/>
          <w:sz w:val="24"/>
          <w:szCs w:val="24"/>
        </w:rPr>
      </w:pPr>
      <w:r w:rsidRPr="00766FF1">
        <w:rPr>
          <w:rFonts w:ascii="Times New Roman" w:hAnsi="Times New Roman" w:cs="Times New Roman"/>
          <w:b/>
          <w:sz w:val="24"/>
          <w:szCs w:val="24"/>
        </w:rPr>
        <w:t>SAŽETAK RAČUNA PRIHODA I RASHODA</w:t>
      </w:r>
    </w:p>
    <w:p w:rsidR="00962F25" w:rsidRDefault="00737E2F" w:rsidP="00962F25">
      <w:pPr>
        <w:spacing w:after="120"/>
        <w:jc w:val="center"/>
        <w:rPr>
          <w:rFonts w:ascii="Times New Roman" w:hAnsi="Times New Roman" w:cs="Times New Roman"/>
          <w:b/>
          <w:sz w:val="24"/>
          <w:szCs w:val="24"/>
        </w:rPr>
      </w:pPr>
      <w:r w:rsidRPr="00737E2F">
        <w:rPr>
          <w:noProof/>
          <w:lang w:eastAsia="hr-HR"/>
        </w:rPr>
        <w:drawing>
          <wp:inline distT="0" distB="0" distL="0" distR="0">
            <wp:extent cx="7680960" cy="132016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0960" cy="1320165"/>
                    </a:xfrm>
                    <a:prstGeom prst="rect">
                      <a:avLst/>
                    </a:prstGeom>
                    <a:noFill/>
                    <a:ln>
                      <a:noFill/>
                    </a:ln>
                  </pic:spPr>
                </pic:pic>
              </a:graphicData>
            </a:graphic>
          </wp:inline>
        </w:drawing>
      </w:r>
    </w:p>
    <w:p w:rsidR="00962F25" w:rsidRPr="00962F25" w:rsidRDefault="00962F25" w:rsidP="00962F25">
      <w:pPr>
        <w:spacing w:after="120"/>
        <w:jc w:val="center"/>
        <w:rPr>
          <w:rFonts w:ascii="Times New Roman" w:hAnsi="Times New Roman" w:cs="Times New Roman"/>
          <w:b/>
          <w:sz w:val="24"/>
          <w:szCs w:val="24"/>
        </w:rPr>
      </w:pPr>
    </w:p>
    <w:p w:rsidR="00962F25" w:rsidRDefault="00962F25" w:rsidP="00575143">
      <w:pPr>
        <w:pStyle w:val="Odlomakpopisa"/>
        <w:numPr>
          <w:ilvl w:val="0"/>
          <w:numId w:val="21"/>
        </w:numPr>
        <w:spacing w:after="360"/>
        <w:ind w:left="425" w:hanging="425"/>
        <w:jc w:val="both"/>
        <w:rPr>
          <w:rFonts w:ascii="Times New Roman" w:hAnsi="Times New Roman" w:cs="Times New Roman"/>
          <w:b/>
          <w:sz w:val="24"/>
          <w:szCs w:val="24"/>
        </w:rPr>
      </w:pPr>
      <w:r>
        <w:rPr>
          <w:rFonts w:ascii="Times New Roman" w:hAnsi="Times New Roman" w:cs="Times New Roman"/>
          <w:b/>
          <w:sz w:val="24"/>
          <w:szCs w:val="24"/>
        </w:rPr>
        <w:t>SAŽETAK RAČUNA FINANCIRANJA</w:t>
      </w:r>
    </w:p>
    <w:p w:rsidR="005F0418" w:rsidRPr="00AE0D29" w:rsidRDefault="003C37FB" w:rsidP="00AE0D29">
      <w:pPr>
        <w:tabs>
          <w:tab w:val="left" w:pos="1427"/>
        </w:tabs>
        <w:spacing w:after="240"/>
        <w:jc w:val="center"/>
        <w:rPr>
          <w:rFonts w:ascii="Times New Roman" w:hAnsi="Times New Roman" w:cs="Times New Roman"/>
          <w:b/>
          <w:sz w:val="24"/>
          <w:szCs w:val="24"/>
        </w:rPr>
      </w:pPr>
      <w:r w:rsidRPr="003C37FB">
        <w:rPr>
          <w:noProof/>
          <w:lang w:eastAsia="hr-HR"/>
        </w:rPr>
        <w:drawing>
          <wp:inline distT="0" distB="0" distL="0" distR="0">
            <wp:extent cx="7680960" cy="82677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0960" cy="826770"/>
                    </a:xfrm>
                    <a:prstGeom prst="rect">
                      <a:avLst/>
                    </a:prstGeom>
                    <a:noFill/>
                    <a:ln>
                      <a:noFill/>
                    </a:ln>
                  </pic:spPr>
                </pic:pic>
              </a:graphicData>
            </a:graphic>
          </wp:inline>
        </w:drawing>
      </w:r>
    </w:p>
    <w:p w:rsidR="005F0418" w:rsidRDefault="005F0418"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3C37FB" w:rsidRPr="00575143" w:rsidRDefault="00962F25" w:rsidP="00575143">
      <w:pPr>
        <w:pStyle w:val="Odlomakpopisa"/>
        <w:numPr>
          <w:ilvl w:val="0"/>
          <w:numId w:val="21"/>
        </w:numPr>
        <w:spacing w:after="360"/>
        <w:ind w:left="425" w:hanging="425"/>
        <w:contextualSpacing w:val="0"/>
        <w:jc w:val="both"/>
        <w:rPr>
          <w:rFonts w:ascii="Times New Roman" w:hAnsi="Times New Roman" w:cs="Times New Roman"/>
          <w:b/>
          <w:sz w:val="24"/>
          <w:szCs w:val="24"/>
        </w:rPr>
      </w:pPr>
      <w:r>
        <w:rPr>
          <w:rFonts w:ascii="Times New Roman" w:hAnsi="Times New Roman" w:cs="Times New Roman"/>
          <w:b/>
          <w:sz w:val="24"/>
          <w:szCs w:val="24"/>
        </w:rPr>
        <w:t>PRENESENI VIŠAK/MANJAK</w:t>
      </w:r>
    </w:p>
    <w:p w:rsidR="00962F25" w:rsidRDefault="003C37FB" w:rsidP="00FD3FCB">
      <w:pPr>
        <w:tabs>
          <w:tab w:val="left" w:pos="1427"/>
        </w:tabs>
        <w:spacing w:after="240"/>
        <w:jc w:val="center"/>
        <w:rPr>
          <w:rFonts w:ascii="Times New Roman" w:hAnsi="Times New Roman" w:cs="Times New Roman"/>
          <w:sz w:val="24"/>
          <w:szCs w:val="24"/>
        </w:rPr>
      </w:pPr>
      <w:r w:rsidRPr="003C37FB">
        <w:rPr>
          <w:noProof/>
          <w:lang w:eastAsia="hr-HR"/>
        </w:rPr>
        <w:drawing>
          <wp:inline distT="0" distB="0" distL="0" distR="0">
            <wp:extent cx="7680960" cy="1160780"/>
            <wp:effectExtent l="0" t="0" r="0" b="127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0960" cy="1160780"/>
                    </a:xfrm>
                    <a:prstGeom prst="rect">
                      <a:avLst/>
                    </a:prstGeom>
                    <a:noFill/>
                    <a:ln>
                      <a:noFill/>
                    </a:ln>
                  </pic:spPr>
                </pic:pic>
              </a:graphicData>
            </a:graphic>
          </wp:inline>
        </w:drawing>
      </w:r>
    </w:p>
    <w:p w:rsidR="00962F25" w:rsidRDefault="00962F25" w:rsidP="00FD3FCB">
      <w:pPr>
        <w:tabs>
          <w:tab w:val="left" w:pos="1427"/>
        </w:tabs>
        <w:spacing w:after="240"/>
        <w:jc w:val="center"/>
        <w:rPr>
          <w:rFonts w:ascii="Times New Roman" w:hAnsi="Times New Roman" w:cs="Times New Roman"/>
          <w:sz w:val="24"/>
          <w:szCs w:val="24"/>
        </w:rPr>
      </w:pPr>
    </w:p>
    <w:p w:rsidR="00962F25" w:rsidRPr="00575143" w:rsidRDefault="00962F25" w:rsidP="00575143">
      <w:pPr>
        <w:pStyle w:val="Odlomakpopisa"/>
        <w:numPr>
          <w:ilvl w:val="0"/>
          <w:numId w:val="21"/>
        </w:numPr>
        <w:spacing w:after="360"/>
        <w:ind w:left="425" w:hanging="425"/>
        <w:contextualSpacing w:val="0"/>
        <w:jc w:val="both"/>
        <w:rPr>
          <w:rFonts w:ascii="Times New Roman" w:hAnsi="Times New Roman" w:cs="Times New Roman"/>
          <w:b/>
          <w:sz w:val="24"/>
          <w:szCs w:val="24"/>
        </w:rPr>
      </w:pPr>
      <w:r>
        <w:rPr>
          <w:rFonts w:ascii="Times New Roman" w:hAnsi="Times New Roman" w:cs="Times New Roman"/>
          <w:b/>
          <w:sz w:val="24"/>
          <w:szCs w:val="24"/>
        </w:rPr>
        <w:t>FINANCIJSKI PLAN UKUPNO</w:t>
      </w:r>
    </w:p>
    <w:p w:rsidR="00962F25" w:rsidRDefault="00737E2F" w:rsidP="00FD3FCB">
      <w:pPr>
        <w:tabs>
          <w:tab w:val="left" w:pos="1427"/>
        </w:tabs>
        <w:spacing w:after="240"/>
        <w:jc w:val="center"/>
        <w:rPr>
          <w:rFonts w:ascii="Times New Roman" w:hAnsi="Times New Roman" w:cs="Times New Roman"/>
          <w:sz w:val="24"/>
          <w:szCs w:val="24"/>
        </w:rPr>
      </w:pPr>
      <w:r w:rsidRPr="00737E2F">
        <w:rPr>
          <w:noProof/>
          <w:lang w:eastAsia="hr-HR"/>
        </w:rPr>
        <w:drawing>
          <wp:inline distT="0" distB="0" distL="0" distR="0">
            <wp:extent cx="7680960" cy="82677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0960" cy="826770"/>
                    </a:xfrm>
                    <a:prstGeom prst="rect">
                      <a:avLst/>
                    </a:prstGeom>
                    <a:noFill/>
                    <a:ln>
                      <a:noFill/>
                    </a:ln>
                  </pic:spPr>
                </pic:pic>
              </a:graphicData>
            </a:graphic>
          </wp:inline>
        </w:drawing>
      </w: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6D2D3E" w:rsidRPr="0044282C" w:rsidRDefault="006D2D3E" w:rsidP="00FD3FCB">
      <w:pPr>
        <w:tabs>
          <w:tab w:val="left" w:pos="1427"/>
        </w:tabs>
        <w:spacing w:after="240"/>
        <w:jc w:val="center"/>
        <w:rPr>
          <w:rFonts w:ascii="Times New Roman" w:hAnsi="Times New Roman" w:cs="Times New Roman"/>
          <w:sz w:val="24"/>
          <w:szCs w:val="24"/>
        </w:rPr>
      </w:pPr>
    </w:p>
    <w:p w:rsidR="00C2703C" w:rsidRDefault="00C2703C" w:rsidP="006175CA">
      <w:pPr>
        <w:spacing w:after="240"/>
        <w:jc w:val="center"/>
        <w:rPr>
          <w:rFonts w:ascii="Times New Roman" w:hAnsi="Times New Roman" w:cs="Times New Roman"/>
          <w:sz w:val="24"/>
          <w:szCs w:val="24"/>
        </w:rPr>
      </w:pPr>
      <w:r w:rsidRPr="00C2703C">
        <w:rPr>
          <w:rFonts w:ascii="Times New Roman" w:hAnsi="Times New Roman" w:cs="Times New Roman"/>
          <w:sz w:val="24"/>
          <w:szCs w:val="24"/>
        </w:rPr>
        <w:t>Članak 2.</w:t>
      </w:r>
    </w:p>
    <w:p w:rsidR="00A567A1" w:rsidRPr="00FA7DD6" w:rsidRDefault="006175CA" w:rsidP="00FA7DD6">
      <w:pPr>
        <w:spacing w:after="120"/>
        <w:jc w:val="both"/>
        <w:rPr>
          <w:rFonts w:ascii="Times New Roman" w:hAnsi="Times New Roman" w:cs="Times New Roman"/>
          <w:sz w:val="24"/>
          <w:szCs w:val="24"/>
        </w:rPr>
      </w:pPr>
      <w:r>
        <w:rPr>
          <w:rFonts w:ascii="Times New Roman" w:hAnsi="Times New Roman" w:cs="Times New Roman"/>
          <w:sz w:val="24"/>
          <w:szCs w:val="24"/>
        </w:rPr>
        <w:t>Prihodi i rashodi te</w:t>
      </w:r>
      <w:r w:rsidR="004C44CD">
        <w:rPr>
          <w:rFonts w:ascii="Times New Roman" w:hAnsi="Times New Roman" w:cs="Times New Roman"/>
          <w:sz w:val="24"/>
          <w:szCs w:val="24"/>
        </w:rPr>
        <w:t xml:space="preserve"> primici i</w:t>
      </w:r>
      <w:r>
        <w:rPr>
          <w:rFonts w:ascii="Times New Roman" w:hAnsi="Times New Roman" w:cs="Times New Roman"/>
          <w:sz w:val="24"/>
          <w:szCs w:val="24"/>
        </w:rPr>
        <w:t xml:space="preserve"> izdaci utvrđuju se u Računu prihoda i rashoda i Računu financiranja</w:t>
      </w:r>
      <w:r w:rsidR="00A30AD2">
        <w:rPr>
          <w:rFonts w:ascii="Times New Roman" w:hAnsi="Times New Roman" w:cs="Times New Roman"/>
          <w:sz w:val="24"/>
          <w:szCs w:val="24"/>
        </w:rPr>
        <w:t xml:space="preserve"> u</w:t>
      </w:r>
      <w:r w:rsidR="006D2D3E">
        <w:rPr>
          <w:rFonts w:ascii="Times New Roman" w:hAnsi="Times New Roman" w:cs="Times New Roman"/>
          <w:sz w:val="24"/>
          <w:szCs w:val="24"/>
        </w:rPr>
        <w:t xml:space="preserve"> I. Izmjenama i dopunama</w:t>
      </w:r>
      <w:r w:rsidR="00A30AD2">
        <w:rPr>
          <w:rFonts w:ascii="Times New Roman" w:hAnsi="Times New Roman" w:cs="Times New Roman"/>
          <w:sz w:val="24"/>
          <w:szCs w:val="24"/>
        </w:rPr>
        <w:t xml:space="preserve"> </w:t>
      </w:r>
      <w:r>
        <w:rPr>
          <w:rFonts w:ascii="Times New Roman" w:hAnsi="Times New Roman" w:cs="Times New Roman"/>
          <w:sz w:val="24"/>
          <w:szCs w:val="24"/>
        </w:rPr>
        <w:t>Financijsk</w:t>
      </w:r>
      <w:r w:rsidR="006D2D3E">
        <w:rPr>
          <w:rFonts w:ascii="Times New Roman" w:hAnsi="Times New Roman" w:cs="Times New Roman"/>
          <w:sz w:val="24"/>
          <w:szCs w:val="24"/>
        </w:rPr>
        <w:t>og plana</w:t>
      </w:r>
      <w:r w:rsidR="00A30AD2">
        <w:rPr>
          <w:rFonts w:ascii="Times New Roman" w:hAnsi="Times New Roman" w:cs="Times New Roman"/>
          <w:sz w:val="24"/>
          <w:szCs w:val="24"/>
        </w:rPr>
        <w:t xml:space="preserve"> za 2024</w:t>
      </w:r>
      <w:r w:rsidR="005E3D5F">
        <w:rPr>
          <w:rFonts w:ascii="Times New Roman" w:hAnsi="Times New Roman" w:cs="Times New Roman"/>
          <w:sz w:val="24"/>
          <w:szCs w:val="24"/>
        </w:rPr>
        <w:t xml:space="preserve">. </w:t>
      </w:r>
      <w:r w:rsidR="00A30AD2">
        <w:rPr>
          <w:rFonts w:ascii="Times New Roman" w:hAnsi="Times New Roman" w:cs="Times New Roman"/>
          <w:sz w:val="24"/>
          <w:szCs w:val="24"/>
        </w:rPr>
        <w:t>g</w:t>
      </w:r>
      <w:r w:rsidR="005E3D5F">
        <w:rPr>
          <w:rFonts w:ascii="Times New Roman" w:hAnsi="Times New Roman" w:cs="Times New Roman"/>
          <w:sz w:val="24"/>
          <w:szCs w:val="24"/>
        </w:rPr>
        <w:t>odinu</w:t>
      </w:r>
      <w:r w:rsidR="006D2D3E">
        <w:rPr>
          <w:rFonts w:ascii="Times New Roman" w:hAnsi="Times New Roman" w:cs="Times New Roman"/>
          <w:sz w:val="24"/>
          <w:szCs w:val="24"/>
        </w:rPr>
        <w:t xml:space="preserve"> </w:t>
      </w:r>
      <w:r>
        <w:rPr>
          <w:rFonts w:ascii="Times New Roman" w:hAnsi="Times New Roman" w:cs="Times New Roman"/>
          <w:sz w:val="24"/>
          <w:szCs w:val="24"/>
        </w:rPr>
        <w:t>kako slijedi:</w:t>
      </w:r>
    </w:p>
    <w:p w:rsidR="00A567A1" w:rsidRPr="00A1350A" w:rsidRDefault="00A1350A" w:rsidP="00A1350A">
      <w:pPr>
        <w:pStyle w:val="Odlomakpopisa"/>
        <w:numPr>
          <w:ilvl w:val="0"/>
          <w:numId w:val="20"/>
        </w:numPr>
        <w:spacing w:after="360" w:line="360" w:lineRule="auto"/>
        <w:ind w:left="425" w:hanging="425"/>
        <w:jc w:val="both"/>
        <w:rPr>
          <w:rFonts w:ascii="Times New Roman" w:hAnsi="Times New Roman" w:cs="Times New Roman"/>
          <w:b/>
          <w:sz w:val="24"/>
          <w:szCs w:val="24"/>
        </w:rPr>
      </w:pPr>
      <w:r w:rsidRPr="00A1350A">
        <w:rPr>
          <w:rFonts w:ascii="Times New Roman" w:hAnsi="Times New Roman" w:cs="Times New Roman"/>
          <w:b/>
          <w:sz w:val="24"/>
          <w:szCs w:val="24"/>
        </w:rPr>
        <w:t>RAČUN PRIHODA I RASHODA</w:t>
      </w:r>
    </w:p>
    <w:p w:rsidR="00A1350A" w:rsidRPr="00A1350A" w:rsidRDefault="00A1350A" w:rsidP="00F71D46">
      <w:pPr>
        <w:pStyle w:val="Odlomakpopisa"/>
        <w:spacing w:after="240"/>
        <w:ind w:hanging="720"/>
        <w:jc w:val="both"/>
        <w:rPr>
          <w:rFonts w:ascii="Times New Roman" w:hAnsi="Times New Roman" w:cs="Times New Roman"/>
          <w:b/>
          <w:sz w:val="24"/>
          <w:szCs w:val="24"/>
        </w:rPr>
      </w:pPr>
      <w:r w:rsidRPr="00A1350A">
        <w:rPr>
          <w:rFonts w:ascii="Times New Roman" w:hAnsi="Times New Roman" w:cs="Times New Roman"/>
          <w:b/>
          <w:sz w:val="24"/>
          <w:szCs w:val="24"/>
        </w:rPr>
        <w:t>A1. PRIHODI I RASHODI PREMA EKONOMSKOJ KLASIFIKACIJI</w:t>
      </w:r>
    </w:p>
    <w:p w:rsidR="000D128E" w:rsidRDefault="00223DEE" w:rsidP="00F956D8">
      <w:pPr>
        <w:spacing w:after="240"/>
        <w:jc w:val="center"/>
        <w:rPr>
          <w:rFonts w:ascii="Times New Roman" w:hAnsi="Times New Roman" w:cs="Times New Roman"/>
          <w:color w:val="FF0000"/>
          <w:sz w:val="24"/>
          <w:szCs w:val="24"/>
        </w:rPr>
      </w:pPr>
      <w:r w:rsidRPr="00223DEE">
        <w:rPr>
          <w:noProof/>
          <w:lang w:eastAsia="hr-HR"/>
        </w:rPr>
        <w:drawing>
          <wp:inline distT="0" distB="0" distL="0" distR="0">
            <wp:extent cx="8213725" cy="4810760"/>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3725" cy="4810760"/>
                    </a:xfrm>
                    <a:prstGeom prst="rect">
                      <a:avLst/>
                    </a:prstGeom>
                    <a:noFill/>
                    <a:ln>
                      <a:noFill/>
                    </a:ln>
                  </pic:spPr>
                </pic:pic>
              </a:graphicData>
            </a:graphic>
          </wp:inline>
        </w:drawing>
      </w:r>
    </w:p>
    <w:p w:rsidR="007D1091" w:rsidRPr="00B85EBF" w:rsidRDefault="00740BCC" w:rsidP="00B85EBF">
      <w:pPr>
        <w:spacing w:after="240" w:line="360" w:lineRule="auto"/>
        <w:jc w:val="both"/>
        <w:rPr>
          <w:rFonts w:ascii="Times New Roman" w:hAnsi="Times New Roman" w:cs="Times New Roman"/>
          <w:b/>
          <w:sz w:val="24"/>
          <w:szCs w:val="24"/>
        </w:rPr>
      </w:pPr>
      <w:r w:rsidRPr="00B85EBF">
        <w:rPr>
          <w:rFonts w:ascii="Times New Roman" w:hAnsi="Times New Roman" w:cs="Times New Roman"/>
          <w:b/>
          <w:sz w:val="24"/>
          <w:szCs w:val="24"/>
        </w:rPr>
        <w:lastRenderedPageBreak/>
        <w:t>A2. PRIHODI I RASHODI PREMA IZVORIMA FINANCIRANJA</w:t>
      </w:r>
    </w:p>
    <w:p w:rsidR="00A567A1" w:rsidRPr="00BB15AC" w:rsidRDefault="00223DEE" w:rsidP="00F956D8">
      <w:pPr>
        <w:spacing w:after="120"/>
        <w:jc w:val="center"/>
        <w:rPr>
          <w:rFonts w:ascii="Times New Roman" w:hAnsi="Times New Roman" w:cs="Times New Roman"/>
          <w:sz w:val="24"/>
          <w:szCs w:val="24"/>
        </w:rPr>
      </w:pPr>
      <w:r w:rsidRPr="00223DEE">
        <w:rPr>
          <w:noProof/>
          <w:lang w:eastAsia="hr-HR"/>
        </w:rPr>
        <w:drawing>
          <wp:inline distT="0" distB="0" distL="0" distR="0">
            <wp:extent cx="7839986" cy="6257677"/>
            <wp:effectExtent l="0" t="0" r="889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40304" cy="6257931"/>
                    </a:xfrm>
                    <a:prstGeom prst="rect">
                      <a:avLst/>
                    </a:prstGeom>
                    <a:noFill/>
                    <a:ln>
                      <a:noFill/>
                    </a:ln>
                  </pic:spPr>
                </pic:pic>
              </a:graphicData>
            </a:graphic>
          </wp:inline>
        </w:drawing>
      </w:r>
    </w:p>
    <w:p w:rsidR="00DF08A0" w:rsidRDefault="00486C30" w:rsidP="00486C30">
      <w:pPr>
        <w:spacing w:after="240" w:line="360" w:lineRule="auto"/>
        <w:jc w:val="both"/>
        <w:rPr>
          <w:rFonts w:ascii="Times New Roman" w:hAnsi="Times New Roman" w:cs="Times New Roman"/>
          <w:b/>
          <w:sz w:val="24"/>
          <w:szCs w:val="24"/>
        </w:rPr>
      </w:pPr>
      <w:r w:rsidRPr="00486C30">
        <w:rPr>
          <w:rFonts w:ascii="Times New Roman" w:hAnsi="Times New Roman" w:cs="Times New Roman"/>
          <w:b/>
          <w:sz w:val="24"/>
          <w:szCs w:val="24"/>
        </w:rPr>
        <w:lastRenderedPageBreak/>
        <w:t>A3. RASHODI PREMA FUNKCIJSKOJ KLASIFIKACIJI</w:t>
      </w:r>
    </w:p>
    <w:p w:rsidR="00B55720" w:rsidRDefault="00223DEE" w:rsidP="00F956D8">
      <w:pPr>
        <w:spacing w:after="120"/>
        <w:jc w:val="center"/>
        <w:rPr>
          <w:rFonts w:ascii="Times New Roman" w:hAnsi="Times New Roman" w:cs="Times New Roman"/>
          <w:b/>
          <w:sz w:val="24"/>
          <w:szCs w:val="24"/>
        </w:rPr>
      </w:pPr>
      <w:r w:rsidRPr="00223DEE">
        <w:rPr>
          <w:noProof/>
          <w:lang w:eastAsia="hr-HR"/>
        </w:rPr>
        <w:drawing>
          <wp:inline distT="0" distB="0" distL="0" distR="0">
            <wp:extent cx="7735988" cy="103367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36811" cy="1033780"/>
                    </a:xfrm>
                    <a:prstGeom prst="rect">
                      <a:avLst/>
                    </a:prstGeom>
                    <a:noFill/>
                    <a:ln>
                      <a:noFill/>
                    </a:ln>
                  </pic:spPr>
                </pic:pic>
              </a:graphicData>
            </a:graphic>
          </wp:inline>
        </w:drawing>
      </w:r>
    </w:p>
    <w:p w:rsidR="00B55720" w:rsidRDefault="00B55720" w:rsidP="000E568E">
      <w:pPr>
        <w:spacing w:after="120"/>
        <w:rPr>
          <w:rFonts w:ascii="Times New Roman" w:hAnsi="Times New Roman" w:cs="Times New Roman"/>
          <w:b/>
          <w:sz w:val="24"/>
          <w:szCs w:val="24"/>
        </w:rPr>
      </w:pPr>
    </w:p>
    <w:p w:rsidR="00F956D8" w:rsidRDefault="00F956D8" w:rsidP="000E568E">
      <w:pPr>
        <w:spacing w:after="120"/>
        <w:rPr>
          <w:rFonts w:ascii="Times New Roman" w:hAnsi="Times New Roman" w:cs="Times New Roman"/>
          <w:b/>
          <w:sz w:val="24"/>
          <w:szCs w:val="24"/>
        </w:rPr>
      </w:pPr>
    </w:p>
    <w:p w:rsidR="00B55720" w:rsidRDefault="00F956D8" w:rsidP="00F956D8">
      <w:pPr>
        <w:pStyle w:val="Odlomakpopisa"/>
        <w:numPr>
          <w:ilvl w:val="0"/>
          <w:numId w:val="20"/>
        </w:numPr>
        <w:spacing w:after="120"/>
        <w:ind w:left="426" w:hanging="426"/>
        <w:rPr>
          <w:rFonts w:ascii="Times New Roman" w:hAnsi="Times New Roman" w:cs="Times New Roman"/>
          <w:b/>
          <w:sz w:val="24"/>
          <w:szCs w:val="24"/>
        </w:rPr>
      </w:pPr>
      <w:r>
        <w:rPr>
          <w:rFonts w:ascii="Times New Roman" w:hAnsi="Times New Roman" w:cs="Times New Roman"/>
          <w:b/>
          <w:sz w:val="24"/>
          <w:szCs w:val="24"/>
        </w:rPr>
        <w:t>RAČUN FINANCIRANJA</w:t>
      </w:r>
    </w:p>
    <w:p w:rsidR="00F956D8" w:rsidRPr="00F956D8" w:rsidRDefault="00F956D8" w:rsidP="00F956D8">
      <w:pPr>
        <w:spacing w:after="120"/>
        <w:ind w:left="426" w:hanging="426"/>
        <w:rPr>
          <w:rFonts w:ascii="Times New Roman" w:hAnsi="Times New Roman" w:cs="Times New Roman"/>
          <w:b/>
          <w:sz w:val="24"/>
          <w:szCs w:val="24"/>
        </w:rPr>
      </w:pPr>
      <w:r>
        <w:rPr>
          <w:rFonts w:ascii="Times New Roman" w:hAnsi="Times New Roman" w:cs="Times New Roman"/>
          <w:b/>
          <w:sz w:val="24"/>
          <w:szCs w:val="24"/>
        </w:rPr>
        <w:t>B1. RAČUN FINANCIRANJA PREMA EKONOMSKOJ KLASIFIKACIJI</w:t>
      </w:r>
    </w:p>
    <w:p w:rsidR="00B55720" w:rsidRDefault="00B55720" w:rsidP="00F956D8">
      <w:pPr>
        <w:spacing w:after="120"/>
        <w:jc w:val="center"/>
        <w:rPr>
          <w:rFonts w:ascii="Times New Roman" w:hAnsi="Times New Roman" w:cs="Times New Roman"/>
          <w:b/>
          <w:sz w:val="24"/>
          <w:szCs w:val="24"/>
        </w:rPr>
      </w:pPr>
    </w:p>
    <w:p w:rsidR="00B55720" w:rsidRDefault="00B85EBF" w:rsidP="00F956D8">
      <w:pPr>
        <w:spacing w:after="120"/>
        <w:jc w:val="center"/>
        <w:rPr>
          <w:rFonts w:ascii="Times New Roman" w:hAnsi="Times New Roman" w:cs="Times New Roman"/>
          <w:b/>
          <w:sz w:val="24"/>
          <w:szCs w:val="24"/>
        </w:rPr>
      </w:pPr>
      <w:r w:rsidRPr="00B85EBF">
        <w:rPr>
          <w:noProof/>
          <w:lang w:eastAsia="hr-HR"/>
        </w:rPr>
        <w:drawing>
          <wp:inline distT="0" distB="0" distL="0" distR="0">
            <wp:extent cx="7902728" cy="1916264"/>
            <wp:effectExtent l="0" t="0" r="3175" b="825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3413" cy="1916430"/>
                    </a:xfrm>
                    <a:prstGeom prst="rect">
                      <a:avLst/>
                    </a:prstGeom>
                    <a:noFill/>
                    <a:ln>
                      <a:noFill/>
                    </a:ln>
                  </pic:spPr>
                </pic:pic>
              </a:graphicData>
            </a:graphic>
          </wp:inline>
        </w:drawing>
      </w:r>
    </w:p>
    <w:p w:rsidR="00B55720" w:rsidRDefault="00B55720" w:rsidP="000E568E">
      <w:pPr>
        <w:spacing w:after="120"/>
        <w:rPr>
          <w:rFonts w:ascii="Times New Roman" w:hAnsi="Times New Roman" w:cs="Times New Roman"/>
          <w:b/>
          <w:sz w:val="24"/>
          <w:szCs w:val="24"/>
        </w:rPr>
      </w:pPr>
    </w:p>
    <w:p w:rsidR="00B55720" w:rsidRDefault="00B55720" w:rsidP="000E568E">
      <w:pPr>
        <w:spacing w:after="120"/>
        <w:rPr>
          <w:rFonts w:ascii="Times New Roman" w:hAnsi="Times New Roman" w:cs="Times New Roman"/>
          <w:b/>
          <w:sz w:val="24"/>
          <w:szCs w:val="24"/>
        </w:rPr>
      </w:pPr>
    </w:p>
    <w:p w:rsidR="00F956D8" w:rsidRDefault="00F956D8" w:rsidP="000E568E">
      <w:pPr>
        <w:spacing w:after="120"/>
        <w:rPr>
          <w:rFonts w:ascii="Times New Roman" w:hAnsi="Times New Roman" w:cs="Times New Roman"/>
          <w:b/>
          <w:sz w:val="24"/>
          <w:szCs w:val="24"/>
        </w:rPr>
      </w:pPr>
    </w:p>
    <w:p w:rsidR="00F956D8" w:rsidRDefault="00F956D8" w:rsidP="000E568E">
      <w:pPr>
        <w:spacing w:after="120"/>
        <w:rPr>
          <w:rFonts w:ascii="Times New Roman" w:hAnsi="Times New Roman" w:cs="Times New Roman"/>
          <w:b/>
          <w:sz w:val="24"/>
          <w:szCs w:val="24"/>
        </w:rPr>
      </w:pPr>
    </w:p>
    <w:p w:rsidR="00F956D8" w:rsidRDefault="00F956D8" w:rsidP="000E568E">
      <w:pPr>
        <w:spacing w:after="120"/>
        <w:rPr>
          <w:rFonts w:ascii="Times New Roman" w:hAnsi="Times New Roman" w:cs="Times New Roman"/>
          <w:b/>
          <w:sz w:val="24"/>
          <w:szCs w:val="24"/>
        </w:rPr>
      </w:pPr>
    </w:p>
    <w:p w:rsidR="00B85EBF" w:rsidRDefault="00B85EBF" w:rsidP="000E568E">
      <w:pPr>
        <w:spacing w:after="120"/>
        <w:rPr>
          <w:rFonts w:ascii="Times New Roman" w:hAnsi="Times New Roman" w:cs="Times New Roman"/>
          <w:b/>
          <w:sz w:val="24"/>
          <w:szCs w:val="24"/>
        </w:rPr>
      </w:pPr>
    </w:p>
    <w:p w:rsidR="00F956D8" w:rsidRDefault="00F956D8" w:rsidP="00F956D8">
      <w:pPr>
        <w:spacing w:after="120" w:line="360" w:lineRule="auto"/>
        <w:rPr>
          <w:rFonts w:ascii="Times New Roman" w:hAnsi="Times New Roman" w:cs="Times New Roman"/>
          <w:b/>
          <w:sz w:val="24"/>
          <w:szCs w:val="24"/>
        </w:rPr>
      </w:pPr>
      <w:r>
        <w:rPr>
          <w:rFonts w:ascii="Times New Roman" w:hAnsi="Times New Roman" w:cs="Times New Roman"/>
          <w:b/>
          <w:sz w:val="24"/>
          <w:szCs w:val="24"/>
        </w:rPr>
        <w:lastRenderedPageBreak/>
        <w:t>B2. RAČUN FINANCIRANJA PREMA IZVORIMA FINANCIRANJA</w:t>
      </w:r>
    </w:p>
    <w:p w:rsidR="00F956D8" w:rsidRDefault="00B85EBF" w:rsidP="00F956D8">
      <w:pPr>
        <w:spacing w:after="120"/>
        <w:jc w:val="center"/>
        <w:rPr>
          <w:rFonts w:ascii="Times New Roman" w:hAnsi="Times New Roman" w:cs="Times New Roman"/>
          <w:b/>
          <w:sz w:val="24"/>
          <w:szCs w:val="24"/>
        </w:rPr>
      </w:pPr>
      <w:r w:rsidRPr="00B85EBF">
        <w:rPr>
          <w:noProof/>
          <w:lang w:eastAsia="hr-HR"/>
        </w:rPr>
        <w:drawing>
          <wp:inline distT="0" distB="0" distL="0" distR="0">
            <wp:extent cx="8093968" cy="1796995"/>
            <wp:effectExtent l="0" t="0" r="254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4216" cy="1797050"/>
                    </a:xfrm>
                    <a:prstGeom prst="rect">
                      <a:avLst/>
                    </a:prstGeom>
                    <a:noFill/>
                    <a:ln>
                      <a:noFill/>
                    </a:ln>
                  </pic:spPr>
                </pic:pic>
              </a:graphicData>
            </a:graphic>
          </wp:inline>
        </w:drawing>
      </w:r>
    </w:p>
    <w:p w:rsidR="00F956D8" w:rsidRDefault="00F956D8" w:rsidP="000E568E">
      <w:pPr>
        <w:spacing w:after="120"/>
        <w:rPr>
          <w:rFonts w:ascii="Times New Roman" w:hAnsi="Times New Roman" w:cs="Times New Roman"/>
          <w:b/>
          <w:sz w:val="24"/>
          <w:szCs w:val="24"/>
        </w:rPr>
      </w:pPr>
    </w:p>
    <w:p w:rsidR="00DF08A0" w:rsidRPr="00580EF7" w:rsidRDefault="000E568E" w:rsidP="000248C2">
      <w:pPr>
        <w:pStyle w:val="Odlomakpopisa"/>
        <w:numPr>
          <w:ilvl w:val="0"/>
          <w:numId w:val="11"/>
        </w:numPr>
        <w:spacing w:after="120"/>
        <w:ind w:left="709" w:hanging="352"/>
        <w:contextualSpacing w:val="0"/>
        <w:jc w:val="center"/>
        <w:rPr>
          <w:rFonts w:ascii="Times New Roman" w:hAnsi="Times New Roman" w:cs="Times New Roman"/>
          <w:b/>
          <w:sz w:val="24"/>
          <w:szCs w:val="24"/>
        </w:rPr>
      </w:pPr>
      <w:r w:rsidRPr="00580EF7">
        <w:rPr>
          <w:rFonts w:ascii="Times New Roman" w:hAnsi="Times New Roman" w:cs="Times New Roman"/>
          <w:b/>
          <w:sz w:val="24"/>
          <w:szCs w:val="24"/>
        </w:rPr>
        <w:t>POSEBNI DIO</w:t>
      </w:r>
    </w:p>
    <w:p w:rsidR="000E568E" w:rsidRDefault="000E568E" w:rsidP="00580EF7">
      <w:pPr>
        <w:pStyle w:val="Odlomakpopisa"/>
        <w:spacing w:after="120"/>
        <w:ind w:left="709"/>
        <w:jc w:val="center"/>
        <w:rPr>
          <w:rFonts w:ascii="Times New Roman" w:hAnsi="Times New Roman" w:cs="Times New Roman"/>
          <w:sz w:val="24"/>
          <w:szCs w:val="24"/>
        </w:rPr>
      </w:pPr>
      <w:r w:rsidRPr="000E568E">
        <w:rPr>
          <w:rFonts w:ascii="Times New Roman" w:hAnsi="Times New Roman" w:cs="Times New Roman"/>
          <w:sz w:val="24"/>
          <w:szCs w:val="24"/>
        </w:rPr>
        <w:t>Članak 3.</w:t>
      </w:r>
    </w:p>
    <w:p w:rsidR="000E568E" w:rsidRDefault="000E568E" w:rsidP="000E568E">
      <w:pPr>
        <w:pStyle w:val="Odlomakpopisa"/>
        <w:spacing w:after="120"/>
        <w:ind w:left="709"/>
        <w:jc w:val="center"/>
        <w:rPr>
          <w:rFonts w:ascii="Times New Roman" w:hAnsi="Times New Roman" w:cs="Times New Roman"/>
          <w:sz w:val="24"/>
          <w:szCs w:val="24"/>
        </w:rPr>
      </w:pPr>
    </w:p>
    <w:p w:rsidR="00A567A1" w:rsidRDefault="000E568E" w:rsidP="004A2822">
      <w:pPr>
        <w:pStyle w:val="Odlomakpopisa"/>
        <w:spacing w:after="240"/>
        <w:ind w:left="0"/>
        <w:jc w:val="both"/>
        <w:rPr>
          <w:rFonts w:ascii="Times New Roman" w:hAnsi="Times New Roman" w:cs="Times New Roman"/>
          <w:sz w:val="24"/>
          <w:szCs w:val="24"/>
        </w:rPr>
      </w:pPr>
      <w:r>
        <w:rPr>
          <w:rFonts w:ascii="Times New Roman" w:hAnsi="Times New Roman" w:cs="Times New Roman"/>
          <w:sz w:val="24"/>
          <w:szCs w:val="24"/>
        </w:rPr>
        <w:t>Posebni dio</w:t>
      </w:r>
      <w:r w:rsidR="00172AAD">
        <w:rPr>
          <w:rFonts w:ascii="Times New Roman" w:hAnsi="Times New Roman" w:cs="Times New Roman"/>
          <w:sz w:val="24"/>
          <w:szCs w:val="24"/>
        </w:rPr>
        <w:t xml:space="preserve"> I. Izmjena i dopuna</w:t>
      </w:r>
      <w:r>
        <w:rPr>
          <w:rFonts w:ascii="Times New Roman" w:hAnsi="Times New Roman" w:cs="Times New Roman"/>
          <w:sz w:val="24"/>
          <w:szCs w:val="24"/>
        </w:rPr>
        <w:t xml:space="preserve"> Financijskog plana</w:t>
      </w:r>
      <w:r w:rsidR="00FA4CE4">
        <w:rPr>
          <w:rFonts w:ascii="Times New Roman" w:hAnsi="Times New Roman" w:cs="Times New Roman"/>
          <w:sz w:val="24"/>
          <w:szCs w:val="24"/>
        </w:rPr>
        <w:t xml:space="preserve"> Doma za starije i nemoćne osobe Varaždin</w:t>
      </w:r>
      <w:r w:rsidR="00172AAD">
        <w:rPr>
          <w:rFonts w:ascii="Times New Roman" w:hAnsi="Times New Roman" w:cs="Times New Roman"/>
          <w:sz w:val="24"/>
          <w:szCs w:val="24"/>
        </w:rPr>
        <w:t xml:space="preserve"> za 2024</w:t>
      </w:r>
      <w:r w:rsidR="00A567A1">
        <w:rPr>
          <w:rFonts w:ascii="Times New Roman" w:hAnsi="Times New Roman" w:cs="Times New Roman"/>
          <w:sz w:val="24"/>
          <w:szCs w:val="24"/>
        </w:rPr>
        <w:t xml:space="preserve">. </w:t>
      </w:r>
      <w:r w:rsidR="00FA4CE4">
        <w:rPr>
          <w:rFonts w:ascii="Times New Roman" w:hAnsi="Times New Roman" w:cs="Times New Roman"/>
          <w:sz w:val="24"/>
          <w:szCs w:val="24"/>
        </w:rPr>
        <w:t>g</w:t>
      </w:r>
      <w:r w:rsidR="00A567A1">
        <w:rPr>
          <w:rFonts w:ascii="Times New Roman" w:hAnsi="Times New Roman" w:cs="Times New Roman"/>
          <w:sz w:val="24"/>
          <w:szCs w:val="24"/>
        </w:rPr>
        <w:t>odinu</w:t>
      </w:r>
      <w:r w:rsidR="00172AAD">
        <w:rPr>
          <w:rFonts w:ascii="Times New Roman" w:hAnsi="Times New Roman" w:cs="Times New Roman"/>
          <w:sz w:val="24"/>
          <w:szCs w:val="24"/>
        </w:rPr>
        <w:t xml:space="preserve"> </w:t>
      </w:r>
      <w:r>
        <w:rPr>
          <w:rFonts w:ascii="Times New Roman" w:hAnsi="Times New Roman" w:cs="Times New Roman"/>
          <w:sz w:val="24"/>
          <w:szCs w:val="24"/>
        </w:rPr>
        <w:t>sastoji se od</w:t>
      </w:r>
      <w:r w:rsidR="00172AAD">
        <w:rPr>
          <w:rFonts w:ascii="Times New Roman" w:hAnsi="Times New Roman" w:cs="Times New Roman"/>
          <w:sz w:val="24"/>
          <w:szCs w:val="24"/>
        </w:rPr>
        <w:t xml:space="preserve"> Plana za 2024. godinu, iznosa povećanja ili smanjenja, Novog plana za 2024. godinu te indeksa</w:t>
      </w:r>
      <w:r w:rsidR="00FA4CE4">
        <w:rPr>
          <w:rFonts w:ascii="Times New Roman" w:hAnsi="Times New Roman" w:cs="Times New Roman"/>
          <w:sz w:val="24"/>
          <w:szCs w:val="24"/>
        </w:rPr>
        <w:t>, odnosno</w:t>
      </w:r>
      <w:r>
        <w:rPr>
          <w:rFonts w:ascii="Times New Roman" w:hAnsi="Times New Roman" w:cs="Times New Roman"/>
          <w:sz w:val="24"/>
          <w:szCs w:val="24"/>
        </w:rPr>
        <w:t xml:space="preserve"> rashoda i izdataka iskazanih po organizacijskoj klasifikaciji</w:t>
      </w:r>
      <w:r w:rsidR="00B2305E">
        <w:rPr>
          <w:rFonts w:ascii="Times New Roman" w:hAnsi="Times New Roman" w:cs="Times New Roman"/>
          <w:sz w:val="24"/>
          <w:szCs w:val="24"/>
        </w:rPr>
        <w:t>, izvorima financiranja i ekonomskoj klasifikaciji, raspoređeni u program koji se sastoji od aktivnosti i projekata</w:t>
      </w:r>
      <w:r w:rsidR="00B55720">
        <w:rPr>
          <w:rFonts w:ascii="Times New Roman" w:hAnsi="Times New Roman" w:cs="Times New Roman"/>
          <w:sz w:val="24"/>
          <w:szCs w:val="24"/>
        </w:rPr>
        <w:t xml:space="preserve"> kako slijedi</w:t>
      </w:r>
      <w:r w:rsidR="00B2305E">
        <w:rPr>
          <w:rFonts w:ascii="Times New Roman" w:hAnsi="Times New Roman" w:cs="Times New Roman"/>
          <w:sz w:val="24"/>
          <w:szCs w:val="24"/>
        </w:rPr>
        <w:t>:</w:t>
      </w:r>
    </w:p>
    <w:tbl>
      <w:tblPr>
        <w:tblW w:w="12800" w:type="dxa"/>
        <w:jc w:val="center"/>
        <w:tblInd w:w="93" w:type="dxa"/>
        <w:tblLook w:val="04A0" w:firstRow="1" w:lastRow="0" w:firstColumn="1" w:lastColumn="0" w:noHBand="0" w:noVBand="1"/>
      </w:tblPr>
      <w:tblGrid>
        <w:gridCol w:w="5400"/>
        <w:gridCol w:w="1780"/>
        <w:gridCol w:w="1780"/>
        <w:gridCol w:w="1780"/>
        <w:gridCol w:w="2060"/>
      </w:tblGrid>
      <w:tr w:rsidR="004463EB" w:rsidRPr="004463EB" w:rsidTr="004463EB">
        <w:trPr>
          <w:trHeight w:val="526"/>
          <w:jc w:val="center"/>
        </w:trPr>
        <w:tc>
          <w:tcPr>
            <w:tcW w:w="54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4463EB" w:rsidRPr="004463EB" w:rsidRDefault="004463EB" w:rsidP="004463EB">
            <w:pPr>
              <w:spacing w:after="0" w:line="240" w:lineRule="auto"/>
              <w:jc w:val="center"/>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BROJČANA OZNAKA I NAZIV</w:t>
            </w:r>
          </w:p>
        </w:tc>
        <w:tc>
          <w:tcPr>
            <w:tcW w:w="1780" w:type="dxa"/>
            <w:tcBorders>
              <w:top w:val="single" w:sz="4" w:space="0" w:color="auto"/>
              <w:left w:val="nil"/>
              <w:bottom w:val="single" w:sz="4" w:space="0" w:color="auto"/>
              <w:right w:val="single" w:sz="4" w:space="0" w:color="auto"/>
            </w:tcBorders>
            <w:shd w:val="clear" w:color="000000" w:fill="DDEBF7"/>
            <w:vAlign w:val="center"/>
            <w:hideMark/>
          </w:tcPr>
          <w:p w:rsidR="004463EB" w:rsidRPr="004463EB" w:rsidRDefault="004463EB" w:rsidP="004463EB">
            <w:pPr>
              <w:spacing w:after="0" w:line="240" w:lineRule="auto"/>
              <w:jc w:val="center"/>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 xml:space="preserve">PLAN </w:t>
            </w:r>
            <w:r w:rsidRPr="004463EB">
              <w:rPr>
                <w:rFonts w:ascii="Arial" w:eastAsia="Times New Roman" w:hAnsi="Arial" w:cs="Arial"/>
                <w:b/>
                <w:bCs/>
                <w:color w:val="000000"/>
                <w:sz w:val="20"/>
                <w:szCs w:val="20"/>
                <w:lang w:eastAsia="hr-HR"/>
              </w:rPr>
              <w:br/>
              <w:t>ZA 2024.</w:t>
            </w:r>
          </w:p>
        </w:tc>
        <w:tc>
          <w:tcPr>
            <w:tcW w:w="1780" w:type="dxa"/>
            <w:tcBorders>
              <w:top w:val="single" w:sz="4" w:space="0" w:color="auto"/>
              <w:left w:val="nil"/>
              <w:bottom w:val="single" w:sz="4" w:space="0" w:color="auto"/>
              <w:right w:val="single" w:sz="4" w:space="0" w:color="auto"/>
            </w:tcBorders>
            <w:shd w:val="clear" w:color="000000" w:fill="DDEBF7"/>
            <w:vAlign w:val="center"/>
            <w:hideMark/>
          </w:tcPr>
          <w:p w:rsidR="004463EB" w:rsidRPr="004463EB" w:rsidRDefault="004463EB" w:rsidP="004463EB">
            <w:pPr>
              <w:spacing w:after="0" w:line="240" w:lineRule="auto"/>
              <w:jc w:val="center"/>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POVEĆANJE/ SMANJENJE</w:t>
            </w:r>
          </w:p>
        </w:tc>
        <w:tc>
          <w:tcPr>
            <w:tcW w:w="1780" w:type="dxa"/>
            <w:tcBorders>
              <w:top w:val="single" w:sz="4" w:space="0" w:color="auto"/>
              <w:left w:val="nil"/>
              <w:bottom w:val="single" w:sz="4" w:space="0" w:color="auto"/>
              <w:right w:val="single" w:sz="4" w:space="0" w:color="auto"/>
            </w:tcBorders>
            <w:shd w:val="clear" w:color="000000" w:fill="DDEBF7"/>
            <w:vAlign w:val="center"/>
            <w:hideMark/>
          </w:tcPr>
          <w:p w:rsidR="004463EB" w:rsidRPr="004463EB" w:rsidRDefault="004463EB" w:rsidP="004463EB">
            <w:pPr>
              <w:spacing w:after="0" w:line="240" w:lineRule="auto"/>
              <w:jc w:val="center"/>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NOVI PLAN ZA 2024.</w:t>
            </w:r>
          </w:p>
        </w:tc>
        <w:tc>
          <w:tcPr>
            <w:tcW w:w="2060" w:type="dxa"/>
            <w:tcBorders>
              <w:top w:val="single" w:sz="4" w:space="0" w:color="auto"/>
              <w:left w:val="nil"/>
              <w:bottom w:val="single" w:sz="4" w:space="0" w:color="auto"/>
              <w:right w:val="single" w:sz="4" w:space="0" w:color="auto"/>
            </w:tcBorders>
            <w:shd w:val="clear" w:color="000000" w:fill="DDEBF7"/>
            <w:vAlign w:val="center"/>
            <w:hideMark/>
          </w:tcPr>
          <w:p w:rsidR="004463EB" w:rsidRPr="004463EB" w:rsidRDefault="004463EB" w:rsidP="004463EB">
            <w:pPr>
              <w:spacing w:after="0" w:line="240" w:lineRule="auto"/>
              <w:jc w:val="center"/>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INDEKS (4/2)</w:t>
            </w:r>
          </w:p>
        </w:tc>
      </w:tr>
      <w:tr w:rsidR="004463EB" w:rsidRPr="004463EB" w:rsidTr="004463EB">
        <w:trPr>
          <w:trHeight w:val="839"/>
          <w:jc w:val="center"/>
        </w:trPr>
        <w:tc>
          <w:tcPr>
            <w:tcW w:w="5400" w:type="dxa"/>
            <w:tcBorders>
              <w:top w:val="nil"/>
              <w:left w:val="single" w:sz="4" w:space="0" w:color="auto"/>
              <w:bottom w:val="single" w:sz="4" w:space="0" w:color="auto"/>
              <w:right w:val="single" w:sz="4" w:space="0" w:color="auto"/>
            </w:tcBorders>
            <w:shd w:val="clear" w:color="000000" w:fill="305496"/>
            <w:vAlign w:val="center"/>
            <w:hideMark/>
          </w:tcPr>
          <w:p w:rsidR="004463EB" w:rsidRPr="004463EB" w:rsidRDefault="004463EB" w:rsidP="004463EB">
            <w:pPr>
              <w:spacing w:after="0" w:line="240" w:lineRule="auto"/>
              <w:rPr>
                <w:rFonts w:ascii="Arial" w:eastAsia="Times New Roman" w:hAnsi="Arial" w:cs="Arial"/>
                <w:b/>
                <w:bCs/>
                <w:color w:val="FFFFFF"/>
                <w:sz w:val="20"/>
                <w:szCs w:val="20"/>
                <w:lang w:eastAsia="hr-HR"/>
              </w:rPr>
            </w:pPr>
            <w:r w:rsidRPr="004463EB">
              <w:rPr>
                <w:rFonts w:ascii="Arial" w:eastAsia="Times New Roman" w:hAnsi="Arial" w:cs="Arial"/>
                <w:b/>
                <w:bCs/>
                <w:color w:val="FFFFFF"/>
                <w:sz w:val="20"/>
                <w:szCs w:val="20"/>
                <w:lang w:eastAsia="hr-HR"/>
              </w:rPr>
              <w:t>Razdjel: 016 UPRAVNI ODJEL ZA ZDRAVSTVO, SOCIJALNU SKRB, CIVILNO DRUŠTVO I HRVATSKE BRANITELJE</w:t>
            </w:r>
          </w:p>
        </w:tc>
        <w:tc>
          <w:tcPr>
            <w:tcW w:w="1780" w:type="dxa"/>
            <w:tcBorders>
              <w:top w:val="nil"/>
              <w:left w:val="nil"/>
              <w:bottom w:val="single" w:sz="4" w:space="0" w:color="auto"/>
              <w:right w:val="single" w:sz="4" w:space="0" w:color="auto"/>
            </w:tcBorders>
            <w:shd w:val="clear" w:color="000000" w:fill="305496"/>
            <w:vAlign w:val="center"/>
            <w:hideMark/>
          </w:tcPr>
          <w:p w:rsidR="004463EB" w:rsidRPr="004463EB" w:rsidRDefault="004463EB" w:rsidP="004463EB">
            <w:pPr>
              <w:spacing w:after="0" w:line="240" w:lineRule="auto"/>
              <w:jc w:val="right"/>
              <w:rPr>
                <w:rFonts w:ascii="Arial" w:eastAsia="Times New Roman" w:hAnsi="Arial" w:cs="Arial"/>
                <w:b/>
                <w:bCs/>
                <w:color w:val="FFFFFF"/>
                <w:sz w:val="20"/>
                <w:szCs w:val="20"/>
                <w:lang w:eastAsia="hr-HR"/>
              </w:rPr>
            </w:pPr>
            <w:r w:rsidRPr="004463EB">
              <w:rPr>
                <w:rFonts w:ascii="Arial" w:eastAsia="Times New Roman" w:hAnsi="Arial" w:cs="Arial"/>
                <w:b/>
                <w:bCs/>
                <w:color w:val="FFFFFF"/>
                <w:sz w:val="20"/>
                <w:szCs w:val="20"/>
                <w:lang w:eastAsia="hr-HR"/>
              </w:rPr>
              <w:t>3.367.427,00</w:t>
            </w:r>
          </w:p>
        </w:tc>
        <w:tc>
          <w:tcPr>
            <w:tcW w:w="1780" w:type="dxa"/>
            <w:tcBorders>
              <w:top w:val="nil"/>
              <w:left w:val="nil"/>
              <w:bottom w:val="single" w:sz="4" w:space="0" w:color="auto"/>
              <w:right w:val="single" w:sz="4" w:space="0" w:color="auto"/>
            </w:tcBorders>
            <w:shd w:val="clear" w:color="000000" w:fill="305496"/>
            <w:vAlign w:val="center"/>
            <w:hideMark/>
          </w:tcPr>
          <w:p w:rsidR="004463EB" w:rsidRPr="004463EB" w:rsidRDefault="004463EB" w:rsidP="004463EB">
            <w:pPr>
              <w:spacing w:after="0" w:line="240" w:lineRule="auto"/>
              <w:jc w:val="right"/>
              <w:rPr>
                <w:rFonts w:ascii="Arial" w:eastAsia="Times New Roman" w:hAnsi="Arial" w:cs="Arial"/>
                <w:b/>
                <w:bCs/>
                <w:color w:val="FFFFFF"/>
                <w:sz w:val="20"/>
                <w:szCs w:val="20"/>
                <w:lang w:eastAsia="hr-HR"/>
              </w:rPr>
            </w:pPr>
            <w:r w:rsidRPr="004463EB">
              <w:rPr>
                <w:rFonts w:ascii="Arial" w:eastAsia="Times New Roman" w:hAnsi="Arial" w:cs="Arial"/>
                <w:b/>
                <w:bCs/>
                <w:color w:val="FFFFFF"/>
                <w:sz w:val="20"/>
                <w:szCs w:val="20"/>
                <w:lang w:eastAsia="hr-HR"/>
              </w:rPr>
              <w:t>861.332,00</w:t>
            </w:r>
          </w:p>
        </w:tc>
        <w:tc>
          <w:tcPr>
            <w:tcW w:w="1780" w:type="dxa"/>
            <w:tcBorders>
              <w:top w:val="nil"/>
              <w:left w:val="nil"/>
              <w:bottom w:val="single" w:sz="4" w:space="0" w:color="auto"/>
              <w:right w:val="single" w:sz="4" w:space="0" w:color="auto"/>
            </w:tcBorders>
            <w:shd w:val="clear" w:color="000000" w:fill="305496"/>
            <w:vAlign w:val="center"/>
            <w:hideMark/>
          </w:tcPr>
          <w:p w:rsidR="004463EB" w:rsidRPr="004463EB" w:rsidRDefault="004463EB" w:rsidP="004463EB">
            <w:pPr>
              <w:spacing w:after="0" w:line="240" w:lineRule="auto"/>
              <w:jc w:val="right"/>
              <w:rPr>
                <w:rFonts w:ascii="Arial" w:eastAsia="Times New Roman" w:hAnsi="Arial" w:cs="Arial"/>
                <w:b/>
                <w:bCs/>
                <w:color w:val="FFFFFF"/>
                <w:sz w:val="20"/>
                <w:szCs w:val="20"/>
                <w:lang w:eastAsia="hr-HR"/>
              </w:rPr>
            </w:pPr>
            <w:r w:rsidRPr="004463EB">
              <w:rPr>
                <w:rFonts w:ascii="Arial" w:eastAsia="Times New Roman" w:hAnsi="Arial" w:cs="Arial"/>
                <w:b/>
                <w:bCs/>
                <w:color w:val="FFFFFF"/>
                <w:sz w:val="20"/>
                <w:szCs w:val="20"/>
                <w:lang w:eastAsia="hr-HR"/>
              </w:rPr>
              <w:t>4.228.759,00</w:t>
            </w:r>
          </w:p>
        </w:tc>
        <w:tc>
          <w:tcPr>
            <w:tcW w:w="2060" w:type="dxa"/>
            <w:tcBorders>
              <w:top w:val="nil"/>
              <w:left w:val="nil"/>
              <w:bottom w:val="single" w:sz="4" w:space="0" w:color="auto"/>
              <w:right w:val="single" w:sz="4" w:space="0" w:color="auto"/>
            </w:tcBorders>
            <w:shd w:val="clear" w:color="000000" w:fill="305496"/>
            <w:vAlign w:val="center"/>
            <w:hideMark/>
          </w:tcPr>
          <w:p w:rsidR="004463EB" w:rsidRPr="004463EB" w:rsidRDefault="004463EB" w:rsidP="004463EB">
            <w:pPr>
              <w:spacing w:after="0" w:line="240" w:lineRule="auto"/>
              <w:jc w:val="right"/>
              <w:rPr>
                <w:rFonts w:ascii="Arial" w:eastAsia="Times New Roman" w:hAnsi="Arial" w:cs="Arial"/>
                <w:b/>
                <w:bCs/>
                <w:color w:val="FFFFFF"/>
                <w:sz w:val="20"/>
                <w:szCs w:val="20"/>
                <w:lang w:eastAsia="hr-HR"/>
              </w:rPr>
            </w:pPr>
            <w:r w:rsidRPr="004463EB">
              <w:rPr>
                <w:rFonts w:ascii="Arial" w:eastAsia="Times New Roman" w:hAnsi="Arial" w:cs="Arial"/>
                <w:b/>
                <w:bCs/>
                <w:color w:val="FFFFFF"/>
                <w:sz w:val="20"/>
                <w:szCs w:val="20"/>
                <w:lang w:eastAsia="hr-HR"/>
              </w:rPr>
              <w:t>125,58</w:t>
            </w:r>
          </w:p>
        </w:tc>
      </w:tr>
      <w:tr w:rsidR="004463EB" w:rsidRPr="004463EB" w:rsidTr="004463EB">
        <w:trPr>
          <w:trHeight w:val="401"/>
          <w:jc w:val="center"/>
        </w:trPr>
        <w:tc>
          <w:tcPr>
            <w:tcW w:w="5400" w:type="dxa"/>
            <w:tcBorders>
              <w:top w:val="nil"/>
              <w:left w:val="single" w:sz="4" w:space="0" w:color="auto"/>
              <w:bottom w:val="single" w:sz="4" w:space="0" w:color="auto"/>
              <w:right w:val="single" w:sz="4" w:space="0" w:color="auto"/>
            </w:tcBorders>
            <w:shd w:val="clear" w:color="000000" w:fill="00B0F0"/>
            <w:vAlign w:val="center"/>
            <w:hideMark/>
          </w:tcPr>
          <w:p w:rsidR="004463EB" w:rsidRPr="004463EB" w:rsidRDefault="004463EB" w:rsidP="004463EB">
            <w:pPr>
              <w:spacing w:after="0" w:line="240" w:lineRule="auto"/>
              <w:rPr>
                <w:rFonts w:ascii="Arial" w:eastAsia="Times New Roman" w:hAnsi="Arial" w:cs="Arial"/>
                <w:b/>
                <w:bCs/>
                <w:color w:val="FFFFFF"/>
                <w:sz w:val="20"/>
                <w:szCs w:val="20"/>
                <w:lang w:eastAsia="hr-HR"/>
              </w:rPr>
            </w:pPr>
            <w:r w:rsidRPr="004463EB">
              <w:rPr>
                <w:rFonts w:ascii="Arial" w:eastAsia="Times New Roman" w:hAnsi="Arial" w:cs="Arial"/>
                <w:b/>
                <w:bCs/>
                <w:color w:val="FFFFFF"/>
                <w:sz w:val="20"/>
                <w:szCs w:val="20"/>
                <w:lang w:eastAsia="hr-HR"/>
              </w:rPr>
              <w:t>Glava: 01603 SOCIJALNA SKRB</w:t>
            </w:r>
          </w:p>
        </w:tc>
        <w:tc>
          <w:tcPr>
            <w:tcW w:w="1780" w:type="dxa"/>
            <w:tcBorders>
              <w:top w:val="nil"/>
              <w:left w:val="nil"/>
              <w:bottom w:val="single" w:sz="4" w:space="0" w:color="auto"/>
              <w:right w:val="single" w:sz="4" w:space="0" w:color="auto"/>
            </w:tcBorders>
            <w:shd w:val="clear" w:color="000000" w:fill="00B0F0"/>
            <w:vAlign w:val="center"/>
            <w:hideMark/>
          </w:tcPr>
          <w:p w:rsidR="004463EB" w:rsidRPr="004463EB" w:rsidRDefault="004463EB" w:rsidP="004463EB">
            <w:pPr>
              <w:spacing w:after="0" w:line="240" w:lineRule="auto"/>
              <w:jc w:val="right"/>
              <w:rPr>
                <w:rFonts w:ascii="Arial" w:eastAsia="Times New Roman" w:hAnsi="Arial" w:cs="Arial"/>
                <w:b/>
                <w:bCs/>
                <w:color w:val="FFFFFF"/>
                <w:sz w:val="20"/>
                <w:szCs w:val="20"/>
                <w:lang w:eastAsia="hr-HR"/>
              </w:rPr>
            </w:pPr>
            <w:r w:rsidRPr="004463EB">
              <w:rPr>
                <w:rFonts w:ascii="Arial" w:eastAsia="Times New Roman" w:hAnsi="Arial" w:cs="Arial"/>
                <w:b/>
                <w:bCs/>
                <w:color w:val="FFFFFF"/>
                <w:sz w:val="20"/>
                <w:szCs w:val="20"/>
                <w:lang w:eastAsia="hr-HR"/>
              </w:rPr>
              <w:t>3.367.427,00</w:t>
            </w:r>
          </w:p>
        </w:tc>
        <w:tc>
          <w:tcPr>
            <w:tcW w:w="1780" w:type="dxa"/>
            <w:tcBorders>
              <w:top w:val="nil"/>
              <w:left w:val="nil"/>
              <w:bottom w:val="single" w:sz="4" w:space="0" w:color="auto"/>
              <w:right w:val="single" w:sz="4" w:space="0" w:color="auto"/>
            </w:tcBorders>
            <w:shd w:val="clear" w:color="000000" w:fill="00B0F0"/>
            <w:vAlign w:val="center"/>
            <w:hideMark/>
          </w:tcPr>
          <w:p w:rsidR="004463EB" w:rsidRPr="004463EB" w:rsidRDefault="004463EB" w:rsidP="004463EB">
            <w:pPr>
              <w:spacing w:after="0" w:line="240" w:lineRule="auto"/>
              <w:jc w:val="right"/>
              <w:rPr>
                <w:rFonts w:ascii="Arial" w:eastAsia="Times New Roman" w:hAnsi="Arial" w:cs="Arial"/>
                <w:b/>
                <w:bCs/>
                <w:color w:val="FFFFFF"/>
                <w:sz w:val="20"/>
                <w:szCs w:val="20"/>
                <w:lang w:eastAsia="hr-HR"/>
              </w:rPr>
            </w:pPr>
            <w:r w:rsidRPr="004463EB">
              <w:rPr>
                <w:rFonts w:ascii="Arial" w:eastAsia="Times New Roman" w:hAnsi="Arial" w:cs="Arial"/>
                <w:b/>
                <w:bCs/>
                <w:color w:val="FFFFFF"/>
                <w:sz w:val="20"/>
                <w:szCs w:val="20"/>
                <w:lang w:eastAsia="hr-HR"/>
              </w:rPr>
              <w:t>861.332,00</w:t>
            </w:r>
          </w:p>
        </w:tc>
        <w:tc>
          <w:tcPr>
            <w:tcW w:w="1780" w:type="dxa"/>
            <w:tcBorders>
              <w:top w:val="nil"/>
              <w:left w:val="nil"/>
              <w:bottom w:val="single" w:sz="4" w:space="0" w:color="auto"/>
              <w:right w:val="single" w:sz="4" w:space="0" w:color="auto"/>
            </w:tcBorders>
            <w:shd w:val="clear" w:color="000000" w:fill="00B0F0"/>
            <w:vAlign w:val="center"/>
            <w:hideMark/>
          </w:tcPr>
          <w:p w:rsidR="004463EB" w:rsidRPr="004463EB" w:rsidRDefault="004463EB" w:rsidP="004463EB">
            <w:pPr>
              <w:spacing w:after="0" w:line="240" w:lineRule="auto"/>
              <w:jc w:val="right"/>
              <w:rPr>
                <w:rFonts w:ascii="Arial" w:eastAsia="Times New Roman" w:hAnsi="Arial" w:cs="Arial"/>
                <w:b/>
                <w:bCs/>
                <w:color w:val="FFFFFF"/>
                <w:sz w:val="20"/>
                <w:szCs w:val="20"/>
                <w:lang w:eastAsia="hr-HR"/>
              </w:rPr>
            </w:pPr>
            <w:r w:rsidRPr="004463EB">
              <w:rPr>
                <w:rFonts w:ascii="Arial" w:eastAsia="Times New Roman" w:hAnsi="Arial" w:cs="Arial"/>
                <w:b/>
                <w:bCs/>
                <w:color w:val="FFFFFF"/>
                <w:sz w:val="20"/>
                <w:szCs w:val="20"/>
                <w:lang w:eastAsia="hr-HR"/>
              </w:rPr>
              <w:t>4.228.759,00</w:t>
            </w:r>
          </w:p>
        </w:tc>
        <w:tc>
          <w:tcPr>
            <w:tcW w:w="2060" w:type="dxa"/>
            <w:tcBorders>
              <w:top w:val="nil"/>
              <w:left w:val="nil"/>
              <w:bottom w:val="single" w:sz="4" w:space="0" w:color="auto"/>
              <w:right w:val="single" w:sz="4" w:space="0" w:color="auto"/>
            </w:tcBorders>
            <w:shd w:val="clear" w:color="000000" w:fill="00B0F0"/>
            <w:vAlign w:val="center"/>
            <w:hideMark/>
          </w:tcPr>
          <w:p w:rsidR="004463EB" w:rsidRPr="004463EB" w:rsidRDefault="004463EB" w:rsidP="004463EB">
            <w:pPr>
              <w:spacing w:after="0" w:line="240" w:lineRule="auto"/>
              <w:jc w:val="right"/>
              <w:rPr>
                <w:rFonts w:ascii="Arial" w:eastAsia="Times New Roman" w:hAnsi="Arial" w:cs="Arial"/>
                <w:b/>
                <w:bCs/>
                <w:color w:val="FFFFFF"/>
                <w:sz w:val="20"/>
                <w:szCs w:val="20"/>
                <w:lang w:eastAsia="hr-HR"/>
              </w:rPr>
            </w:pPr>
            <w:r w:rsidRPr="004463EB">
              <w:rPr>
                <w:rFonts w:ascii="Arial" w:eastAsia="Times New Roman" w:hAnsi="Arial" w:cs="Arial"/>
                <w:b/>
                <w:bCs/>
                <w:color w:val="FFFFFF"/>
                <w:sz w:val="20"/>
                <w:szCs w:val="20"/>
                <w:lang w:eastAsia="hr-HR"/>
              </w:rPr>
              <w:t>125,58</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11 Opći prihodi i primici</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527.956,00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627.956,00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118,94</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31 Vlastiti prihodi</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36.000,00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36.000,00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43 Ostali prihodi za posebne namjene</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2.194.500,00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328.650,00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2.523.150,00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114,98</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44 Decentralizirana sredstva</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602.971,00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330.205,00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933.176,00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154,76</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52 Ostale pomoći</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6.000,00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74.500,00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80.500,00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1.341,67</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61 Donacije</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25.907,00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25.907,00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62 Inozemne donacije</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1.370,00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1.370,00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72 Prihodi od nadoknade šteta s osnova osiguranja</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700,00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700,00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463EB" w:rsidRPr="004463EB" w:rsidRDefault="004463EB" w:rsidP="004463EB">
            <w:pPr>
              <w:spacing w:after="0" w:line="240" w:lineRule="auto"/>
              <w:rPr>
                <w:rFonts w:ascii="Microsoft Sans Serif" w:eastAsia="Times New Roman" w:hAnsi="Microsoft Sans Serif" w:cs="Microsoft Sans Serif"/>
                <w:b/>
                <w:bCs/>
                <w:color w:val="000000"/>
                <w:sz w:val="18"/>
                <w:szCs w:val="18"/>
                <w:lang w:eastAsia="hr-HR"/>
              </w:rPr>
            </w:pPr>
            <w:r w:rsidRPr="004463EB">
              <w:rPr>
                <w:rFonts w:ascii="Microsoft Sans Serif" w:eastAsia="Times New Roman" w:hAnsi="Microsoft Sans Serif" w:cs="Microsoft Sans Serif"/>
                <w:b/>
                <w:bCs/>
                <w:color w:val="000000"/>
                <w:sz w:val="18"/>
                <w:szCs w:val="18"/>
                <w:lang w:eastAsia="hr-HR"/>
              </w:rPr>
              <w:lastRenderedPageBreak/>
              <w:t>Program: 1340 DOM ZA STARIJE I NEMOĆNE OSOBE</w:t>
            </w:r>
          </w:p>
        </w:tc>
        <w:tc>
          <w:tcPr>
            <w:tcW w:w="1780" w:type="dxa"/>
            <w:tcBorders>
              <w:top w:val="single" w:sz="4" w:space="0" w:color="auto"/>
              <w:left w:val="nil"/>
              <w:bottom w:val="single" w:sz="4" w:space="0" w:color="auto"/>
              <w:right w:val="single" w:sz="4" w:space="0" w:color="auto"/>
            </w:tcBorders>
            <w:shd w:val="clear" w:color="000000" w:fill="E2EFDA"/>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3.367.427,00</w:t>
            </w:r>
          </w:p>
        </w:tc>
        <w:tc>
          <w:tcPr>
            <w:tcW w:w="1780" w:type="dxa"/>
            <w:tcBorders>
              <w:top w:val="single" w:sz="4" w:space="0" w:color="auto"/>
              <w:left w:val="nil"/>
              <w:bottom w:val="single" w:sz="4" w:space="0" w:color="auto"/>
              <w:right w:val="single" w:sz="4" w:space="0" w:color="auto"/>
            </w:tcBorders>
            <w:shd w:val="clear" w:color="000000" w:fill="E2EFDA"/>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861.332,00</w:t>
            </w:r>
          </w:p>
        </w:tc>
        <w:tc>
          <w:tcPr>
            <w:tcW w:w="1780" w:type="dxa"/>
            <w:tcBorders>
              <w:top w:val="single" w:sz="4" w:space="0" w:color="auto"/>
              <w:left w:val="nil"/>
              <w:bottom w:val="single" w:sz="4" w:space="0" w:color="auto"/>
              <w:right w:val="single" w:sz="4" w:space="0" w:color="auto"/>
            </w:tcBorders>
            <w:shd w:val="clear" w:color="000000" w:fill="E2EFDA"/>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4.228.759,00</w:t>
            </w:r>
          </w:p>
        </w:tc>
        <w:tc>
          <w:tcPr>
            <w:tcW w:w="2060" w:type="dxa"/>
            <w:tcBorders>
              <w:top w:val="single" w:sz="4" w:space="0" w:color="auto"/>
              <w:left w:val="nil"/>
              <w:bottom w:val="single" w:sz="4" w:space="0" w:color="auto"/>
              <w:right w:val="single" w:sz="4" w:space="0" w:color="auto"/>
            </w:tcBorders>
            <w:shd w:val="clear" w:color="000000" w:fill="E2EFDA"/>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125,58</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BDD7EE"/>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A134001 Stručno i administrativno osoblje</w:t>
            </w:r>
          </w:p>
        </w:tc>
        <w:tc>
          <w:tcPr>
            <w:tcW w:w="1780" w:type="dxa"/>
            <w:tcBorders>
              <w:top w:val="nil"/>
              <w:left w:val="nil"/>
              <w:bottom w:val="single" w:sz="4" w:space="0" w:color="auto"/>
              <w:right w:val="single" w:sz="4" w:space="0" w:color="auto"/>
            </w:tcBorders>
            <w:shd w:val="clear" w:color="000000" w:fill="BDD7EE"/>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3.053.780,00</w:t>
            </w:r>
          </w:p>
        </w:tc>
        <w:tc>
          <w:tcPr>
            <w:tcW w:w="1780" w:type="dxa"/>
            <w:tcBorders>
              <w:top w:val="nil"/>
              <w:left w:val="nil"/>
              <w:bottom w:val="single" w:sz="4" w:space="0" w:color="auto"/>
              <w:right w:val="single" w:sz="4" w:space="0" w:color="auto"/>
            </w:tcBorders>
            <w:shd w:val="clear" w:color="000000" w:fill="BDD7EE"/>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861.332,00</w:t>
            </w:r>
          </w:p>
        </w:tc>
        <w:tc>
          <w:tcPr>
            <w:tcW w:w="1780" w:type="dxa"/>
            <w:tcBorders>
              <w:top w:val="nil"/>
              <w:left w:val="nil"/>
              <w:bottom w:val="single" w:sz="4" w:space="0" w:color="auto"/>
              <w:right w:val="single" w:sz="4" w:space="0" w:color="auto"/>
            </w:tcBorders>
            <w:shd w:val="clear" w:color="000000" w:fill="BDD7EE"/>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3.915.112,00</w:t>
            </w:r>
          </w:p>
        </w:tc>
        <w:tc>
          <w:tcPr>
            <w:tcW w:w="2060" w:type="dxa"/>
            <w:tcBorders>
              <w:top w:val="nil"/>
              <w:left w:val="nil"/>
              <w:bottom w:val="single" w:sz="4" w:space="0" w:color="auto"/>
              <w:right w:val="single" w:sz="4" w:space="0" w:color="auto"/>
            </w:tcBorders>
            <w:shd w:val="clear" w:color="000000" w:fill="BDD7EE"/>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128,21</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11 Opći prihodi i primici</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247.489,00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170.000,00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417.489,00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168,69</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 Rashodi poslovanja</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247.489,00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170.000,00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417.489,00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168,69</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31 Rashodi za zaposlene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247.489,00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170.000,00</w:t>
            </w:r>
          </w:p>
        </w:tc>
        <w:tc>
          <w:tcPr>
            <w:tcW w:w="178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417.489,00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168,69</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31 Vlastiti prihodi</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36.000,00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36.000,00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 Rashodi poslovanja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17.800,00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17.800,00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32 Materijalni rashodi</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17.800,00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17.800,00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4 Rashodi za nabavu nefinancijske imovine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18.200,00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18.200,00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42 Rashodi za nabavu proizvedene dugotrajne imovine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18.200,00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18.200,00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43 Ostali prihodi za posebne namjene</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2.194.500,00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328.650,00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2.523.150,00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114,98</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 Rashodi poslovanja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2.194.500,00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328.650,00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2.523.150,00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114,98</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31 Rashodi za zaposlene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1.144.700,00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325.000,00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1.469.700,00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128,39</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32 Materijalni rashodi</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1.042.200,00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3.650,00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1.045.850,00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100,35</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34 Financijski rashodi</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4.100,00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4.100,00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5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37 Naknade građanima i kućanstvima na temelju osiguranja i druge naknade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3.500,00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3.500,00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44 Decentralizirana sredstva</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569.791,00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330.205,00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899.996,00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157,95</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 Rashodi poslovanja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569.791,00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330.205,00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899.996,00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157,95</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31 Rashodi za zaposlene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569.791,00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330.205,00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899.996,00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157,95</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52 Ostale pomoći</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6.000,00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4.500,00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10.500,00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175,00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 Rashodi poslovanja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6.000,00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4.500,00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10.500,00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175,00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32 Materijalni rashodi</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6.000,00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4.500,00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10.500,00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175,00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61 Donacije</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25.907,00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25.907,00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 Rashodi poslovanja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24.962,00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24.962,00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32 Materijalni rashodi</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24.962,00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24.962,00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4 Rashodi za nabavu nefinancijske imovine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945,00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945,00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42 Rashodi za nabavu proizvedene dugotrajne imovine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945,00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945,00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62 Inozemne donacije</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1.370,00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1.370,00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 Rashodi poslovanja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1.370,00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1.370,00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32 Materijalni rashodi</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1.370,00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1.370,00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72 Prihodi od nadoknade šteta s osnova osiguranja</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700,00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700,00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 Rashodi poslovanja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700,00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700,00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32 Materijalni rashodi</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700,00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700,00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lastRenderedPageBreak/>
              <w:t>A134002 Otplata kredita za Energetsku obnovu Doma</w:t>
            </w:r>
          </w:p>
        </w:tc>
        <w:tc>
          <w:tcPr>
            <w:tcW w:w="1780" w:type="dxa"/>
            <w:tcBorders>
              <w:top w:val="single" w:sz="4" w:space="0" w:color="auto"/>
              <w:left w:val="nil"/>
              <w:bottom w:val="single" w:sz="4" w:space="0" w:color="auto"/>
              <w:right w:val="single" w:sz="4" w:space="0" w:color="auto"/>
            </w:tcBorders>
            <w:shd w:val="clear" w:color="000000" w:fill="BDD7EE"/>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115.467,00</w:t>
            </w:r>
          </w:p>
        </w:tc>
        <w:tc>
          <w:tcPr>
            <w:tcW w:w="1780" w:type="dxa"/>
            <w:tcBorders>
              <w:top w:val="single" w:sz="4" w:space="0" w:color="auto"/>
              <w:left w:val="nil"/>
              <w:bottom w:val="single" w:sz="4" w:space="0" w:color="auto"/>
              <w:right w:val="single" w:sz="4" w:space="0" w:color="auto"/>
            </w:tcBorders>
            <w:shd w:val="clear" w:color="000000" w:fill="BDD7EE"/>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single" w:sz="4" w:space="0" w:color="auto"/>
              <w:left w:val="nil"/>
              <w:bottom w:val="single" w:sz="4" w:space="0" w:color="auto"/>
              <w:right w:val="single" w:sz="4" w:space="0" w:color="auto"/>
            </w:tcBorders>
            <w:shd w:val="clear" w:color="000000" w:fill="BDD7EE"/>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115.467,00</w:t>
            </w:r>
          </w:p>
        </w:tc>
        <w:tc>
          <w:tcPr>
            <w:tcW w:w="2060" w:type="dxa"/>
            <w:tcBorders>
              <w:top w:val="single" w:sz="4" w:space="0" w:color="auto"/>
              <w:left w:val="nil"/>
              <w:bottom w:val="single" w:sz="4" w:space="0" w:color="auto"/>
              <w:right w:val="single" w:sz="4" w:space="0" w:color="auto"/>
            </w:tcBorders>
            <w:shd w:val="clear" w:color="000000" w:fill="BDD7EE"/>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11 Opći prihodi i primici</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115.467,00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115.467,00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 Rashodi poslovanja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7.600,00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7.600,00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34 Financijski rashodi</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7.600,00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7.600,00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5 Izdaci za financijsku imovinu i otplate zajmova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107.867,00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107.867,00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54 Izdaci za otplatu glavnice primljenih kredita i zajmova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107.867,00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107.867,00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BDD7EE"/>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K134001 Održavanje objekata</w:t>
            </w:r>
          </w:p>
        </w:tc>
        <w:tc>
          <w:tcPr>
            <w:tcW w:w="1780" w:type="dxa"/>
            <w:tcBorders>
              <w:top w:val="nil"/>
              <w:left w:val="nil"/>
              <w:bottom w:val="single" w:sz="4" w:space="0" w:color="auto"/>
              <w:right w:val="single" w:sz="4" w:space="0" w:color="auto"/>
            </w:tcBorders>
            <w:shd w:val="clear" w:color="000000" w:fill="BDD7EE"/>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198.180,00</w:t>
            </w:r>
          </w:p>
        </w:tc>
        <w:tc>
          <w:tcPr>
            <w:tcW w:w="1780" w:type="dxa"/>
            <w:tcBorders>
              <w:top w:val="nil"/>
              <w:left w:val="nil"/>
              <w:bottom w:val="single" w:sz="4" w:space="0" w:color="auto"/>
              <w:right w:val="single" w:sz="4" w:space="0" w:color="auto"/>
            </w:tcBorders>
            <w:shd w:val="clear" w:color="000000" w:fill="BDD7EE"/>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000000" w:fill="BDD7EE"/>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198.180,00</w:t>
            </w:r>
          </w:p>
        </w:tc>
        <w:tc>
          <w:tcPr>
            <w:tcW w:w="2060" w:type="dxa"/>
            <w:tcBorders>
              <w:top w:val="nil"/>
              <w:left w:val="nil"/>
              <w:bottom w:val="single" w:sz="4" w:space="0" w:color="auto"/>
              <w:right w:val="single" w:sz="4" w:space="0" w:color="auto"/>
            </w:tcBorders>
            <w:shd w:val="clear" w:color="000000" w:fill="BDD7EE"/>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11 Opći prihodi i primici</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165.000,00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-70.000,00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95.000,00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57,58</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 Rashodi poslovanja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165.000,00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-165.000,00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32 Materijalni rashodi</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165.000,00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-165.000,00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4 Rashodi za nabavu nefinancijske imovine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95.000,00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95.000,00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41 Rashodi za nabavu neproizvedene dugotrajne imovine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95.000,00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95.000,00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44 Decentralizirana sredstva</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33.180,00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33.180,00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3 Rashodi poslovanja</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15.926,00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15.926,00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32 Materijalni rashodi</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15.926,00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15.926,00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4 Rashodi za nabavu nefinancijske imovine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17.254,00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17.254,00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42 Rashodi za nabavu proizvedene dugotrajne imovine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17.254,00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17.254,00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100,00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CE4D6"/>
            <w:vAlign w:val="center"/>
            <w:hideMark/>
          </w:tcPr>
          <w:p w:rsidR="004463EB" w:rsidRPr="004463EB" w:rsidRDefault="004463EB" w:rsidP="004463EB">
            <w:pPr>
              <w:spacing w:after="0" w:line="240" w:lineRule="auto"/>
              <w:rPr>
                <w:rFonts w:ascii="Microsoft Sans Serif" w:eastAsia="Times New Roman" w:hAnsi="Microsoft Sans Serif" w:cs="Microsoft Sans Serif"/>
                <w:color w:val="000000"/>
                <w:sz w:val="15"/>
                <w:szCs w:val="15"/>
                <w:lang w:eastAsia="hr-HR"/>
              </w:rPr>
            </w:pPr>
            <w:r w:rsidRPr="004463EB">
              <w:rPr>
                <w:rFonts w:ascii="Microsoft Sans Serif" w:eastAsia="Times New Roman" w:hAnsi="Microsoft Sans Serif" w:cs="Microsoft Sans Serif"/>
                <w:color w:val="000000"/>
                <w:sz w:val="15"/>
                <w:szCs w:val="15"/>
                <w:lang w:eastAsia="hr-HR"/>
              </w:rPr>
              <w:t>Izvor: 52 Ostale pomoći</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70.000,00</w:t>
            </w:r>
          </w:p>
        </w:tc>
        <w:tc>
          <w:tcPr>
            <w:tcW w:w="178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70.000,00</w:t>
            </w:r>
          </w:p>
        </w:tc>
        <w:tc>
          <w:tcPr>
            <w:tcW w:w="2060" w:type="dxa"/>
            <w:tcBorders>
              <w:top w:val="nil"/>
              <w:left w:val="nil"/>
              <w:bottom w:val="single" w:sz="4" w:space="0" w:color="auto"/>
              <w:right w:val="single" w:sz="4" w:space="0" w:color="auto"/>
            </w:tcBorders>
            <w:shd w:val="clear" w:color="000000" w:fill="FCE4D6"/>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4 Rashodi za nabavu nefinancijske imovine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70.000,00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b/>
                <w:bCs/>
                <w:color w:val="000000"/>
                <w:lang w:eastAsia="hr-HR"/>
              </w:rPr>
            </w:pPr>
            <w:r w:rsidRPr="004463EB">
              <w:rPr>
                <w:rFonts w:ascii="Calibri" w:eastAsia="Times New Roman" w:hAnsi="Calibri" w:cs="Calibri"/>
                <w:b/>
                <w:bCs/>
                <w:color w:val="000000"/>
                <w:lang w:eastAsia="hr-HR"/>
              </w:rPr>
              <w:t>70.000,00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b/>
                <w:bCs/>
                <w:color w:val="000000"/>
                <w:sz w:val="20"/>
                <w:szCs w:val="20"/>
                <w:lang w:eastAsia="hr-HR"/>
              </w:rPr>
            </w:pPr>
            <w:r w:rsidRPr="004463EB">
              <w:rPr>
                <w:rFonts w:ascii="Arial" w:eastAsia="Times New Roman" w:hAnsi="Arial" w:cs="Arial"/>
                <w:b/>
                <w:bCs/>
                <w:color w:val="000000"/>
                <w:sz w:val="20"/>
                <w:szCs w:val="20"/>
                <w:lang w:eastAsia="hr-HR"/>
              </w:rPr>
              <w:t>0,00</w:t>
            </w:r>
          </w:p>
        </w:tc>
      </w:tr>
      <w:tr w:rsidR="004463EB" w:rsidRPr="004463EB" w:rsidTr="004463EB">
        <w:trPr>
          <w:trHeight w:val="301"/>
          <w:jc w:val="center"/>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463EB" w:rsidRPr="004463EB" w:rsidRDefault="004463EB" w:rsidP="004463EB">
            <w:pPr>
              <w:spacing w:after="0" w:line="240" w:lineRule="auto"/>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41 Rashodi za nabavu neproizvedene dugotrajne imovine</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70.000,00</w:t>
            </w:r>
          </w:p>
        </w:tc>
        <w:tc>
          <w:tcPr>
            <w:tcW w:w="1780" w:type="dxa"/>
            <w:tcBorders>
              <w:top w:val="nil"/>
              <w:left w:val="nil"/>
              <w:bottom w:val="single" w:sz="4" w:space="0" w:color="auto"/>
              <w:right w:val="single" w:sz="4" w:space="0" w:color="auto"/>
            </w:tcBorders>
            <w:shd w:val="clear" w:color="auto" w:fill="auto"/>
            <w:noWrap/>
            <w:vAlign w:val="center"/>
            <w:hideMark/>
          </w:tcPr>
          <w:p w:rsidR="004463EB" w:rsidRPr="004463EB" w:rsidRDefault="004463EB" w:rsidP="004463EB">
            <w:pPr>
              <w:spacing w:after="0" w:line="240" w:lineRule="auto"/>
              <w:jc w:val="right"/>
              <w:rPr>
                <w:rFonts w:ascii="Calibri" w:eastAsia="Times New Roman" w:hAnsi="Calibri" w:cs="Calibri"/>
                <w:color w:val="000000"/>
                <w:lang w:eastAsia="hr-HR"/>
              </w:rPr>
            </w:pPr>
            <w:r w:rsidRPr="004463EB">
              <w:rPr>
                <w:rFonts w:ascii="Calibri" w:eastAsia="Times New Roman" w:hAnsi="Calibri" w:cs="Calibri"/>
                <w:color w:val="000000"/>
                <w:lang w:eastAsia="hr-HR"/>
              </w:rPr>
              <w:t>70.000,00</w:t>
            </w:r>
          </w:p>
        </w:tc>
        <w:tc>
          <w:tcPr>
            <w:tcW w:w="2060" w:type="dxa"/>
            <w:tcBorders>
              <w:top w:val="nil"/>
              <w:left w:val="nil"/>
              <w:bottom w:val="single" w:sz="4" w:space="0" w:color="auto"/>
              <w:right w:val="single" w:sz="4" w:space="0" w:color="auto"/>
            </w:tcBorders>
            <w:shd w:val="clear" w:color="000000" w:fill="FFFFFF"/>
            <w:noWrap/>
            <w:vAlign w:val="center"/>
            <w:hideMark/>
          </w:tcPr>
          <w:p w:rsidR="004463EB" w:rsidRPr="004463EB" w:rsidRDefault="004463EB" w:rsidP="004463EB">
            <w:pPr>
              <w:spacing w:after="0" w:line="240" w:lineRule="auto"/>
              <w:jc w:val="right"/>
              <w:rPr>
                <w:rFonts w:ascii="Arial" w:eastAsia="Times New Roman" w:hAnsi="Arial" w:cs="Arial"/>
                <w:color w:val="000000"/>
                <w:sz w:val="20"/>
                <w:szCs w:val="20"/>
                <w:lang w:eastAsia="hr-HR"/>
              </w:rPr>
            </w:pPr>
            <w:r w:rsidRPr="004463EB">
              <w:rPr>
                <w:rFonts w:ascii="Arial" w:eastAsia="Times New Roman" w:hAnsi="Arial" w:cs="Arial"/>
                <w:color w:val="000000"/>
                <w:sz w:val="20"/>
                <w:szCs w:val="20"/>
                <w:lang w:eastAsia="hr-HR"/>
              </w:rPr>
              <w:t>0,00</w:t>
            </w:r>
          </w:p>
        </w:tc>
      </w:tr>
    </w:tbl>
    <w:p w:rsidR="00A567A1" w:rsidRDefault="00A567A1" w:rsidP="00A567A1">
      <w:pPr>
        <w:spacing w:after="240"/>
        <w:jc w:val="both"/>
        <w:rPr>
          <w:rFonts w:ascii="Times New Roman" w:hAnsi="Times New Roman" w:cs="Times New Roman"/>
          <w:color w:val="FF0000"/>
          <w:sz w:val="24"/>
          <w:szCs w:val="24"/>
        </w:rPr>
      </w:pPr>
    </w:p>
    <w:p w:rsidR="00FA6F95" w:rsidRDefault="00FA6F95" w:rsidP="00FA6F95">
      <w:pPr>
        <w:spacing w:after="240"/>
        <w:jc w:val="center"/>
        <w:rPr>
          <w:rFonts w:ascii="Times New Roman" w:hAnsi="Times New Roman" w:cs="Times New Roman"/>
          <w:sz w:val="24"/>
          <w:szCs w:val="24"/>
        </w:rPr>
      </w:pPr>
      <w:r w:rsidRPr="00FA6F95">
        <w:rPr>
          <w:rFonts w:ascii="Times New Roman" w:hAnsi="Times New Roman" w:cs="Times New Roman"/>
          <w:sz w:val="24"/>
          <w:szCs w:val="24"/>
        </w:rPr>
        <w:t>Članak 4.</w:t>
      </w:r>
    </w:p>
    <w:p w:rsidR="00FA6F95" w:rsidRPr="00FA6F95" w:rsidRDefault="00FA6F95" w:rsidP="00FA6F95">
      <w:pPr>
        <w:spacing w:after="240"/>
        <w:jc w:val="both"/>
        <w:rPr>
          <w:rFonts w:ascii="Times New Roman" w:hAnsi="Times New Roman" w:cs="Times New Roman"/>
          <w:sz w:val="24"/>
          <w:szCs w:val="24"/>
        </w:rPr>
      </w:pPr>
      <w:r>
        <w:rPr>
          <w:rFonts w:ascii="Times New Roman" w:hAnsi="Times New Roman" w:cs="Times New Roman"/>
          <w:sz w:val="24"/>
          <w:szCs w:val="24"/>
        </w:rPr>
        <w:t>Donošenjem ovog Prijedloga I. Izmjena i dopuna Financijskog plana Doma za starije i nemoćne osobe Varaždin za 2024. godinu prestaje važiti Prijedlog I. Izmjena i dopuna Financijskog plana Doma za starije i nemoćne osobe Varaždin za 2024. godinu (URBROJ: 2186-1-25/01-24/57-13-1) od 24. lipnja 2024. godine.</w:t>
      </w:r>
    </w:p>
    <w:p w:rsidR="00B2305E" w:rsidRPr="000E568E" w:rsidRDefault="00B2305E" w:rsidP="000E568E">
      <w:pPr>
        <w:pStyle w:val="Odlomakpopisa"/>
        <w:spacing w:after="120"/>
        <w:ind w:left="0"/>
        <w:jc w:val="both"/>
        <w:rPr>
          <w:rFonts w:ascii="Times New Roman" w:hAnsi="Times New Roman" w:cs="Times New Roman"/>
          <w:sz w:val="24"/>
          <w:szCs w:val="24"/>
        </w:rPr>
      </w:pPr>
    </w:p>
    <w:p w:rsidR="004D31DB" w:rsidRPr="009B7A49" w:rsidRDefault="004D31DB" w:rsidP="009B7A49">
      <w:pPr>
        <w:spacing w:after="120"/>
        <w:rPr>
          <w:rFonts w:ascii="Times New Roman" w:hAnsi="Times New Roman" w:cs="Times New Roman"/>
          <w:sz w:val="24"/>
          <w:szCs w:val="24"/>
        </w:rPr>
        <w:sectPr w:rsidR="004D31DB" w:rsidRPr="009B7A49" w:rsidSect="00056618">
          <w:pgSz w:w="16838" w:h="11906" w:orient="landscape" w:code="9"/>
          <w:pgMar w:top="709" w:right="1418" w:bottom="567" w:left="1418" w:header="709" w:footer="709" w:gutter="0"/>
          <w:cols w:space="708"/>
          <w:docGrid w:linePitch="360"/>
        </w:sectPr>
      </w:pPr>
    </w:p>
    <w:p w:rsidR="000E568E" w:rsidRPr="000E568E" w:rsidRDefault="000E568E" w:rsidP="00580EF7">
      <w:pPr>
        <w:pStyle w:val="Odlomakpopisa"/>
        <w:spacing w:after="120"/>
        <w:ind w:left="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187EFC" w:rsidRDefault="00187EFC"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FB4269" w:rsidRDefault="00FB4269" w:rsidP="00555592">
      <w:pPr>
        <w:spacing w:after="120"/>
        <w:jc w:val="center"/>
        <w:rPr>
          <w:rFonts w:ascii="Times New Roman" w:hAnsi="Times New Roman" w:cs="Times New Roman"/>
          <w:b/>
          <w:sz w:val="24"/>
          <w:szCs w:val="24"/>
        </w:rPr>
      </w:pPr>
    </w:p>
    <w:p w:rsidR="00FB4269" w:rsidRDefault="00FB4269" w:rsidP="00555592">
      <w:pPr>
        <w:spacing w:after="120"/>
        <w:jc w:val="center"/>
        <w:rPr>
          <w:rFonts w:ascii="Times New Roman" w:hAnsi="Times New Roman" w:cs="Times New Roman"/>
          <w:b/>
          <w:sz w:val="24"/>
          <w:szCs w:val="24"/>
        </w:rPr>
      </w:pPr>
    </w:p>
    <w:p w:rsidR="00187EFC" w:rsidRDefault="00FB4269" w:rsidP="003F3A86">
      <w:pPr>
        <w:spacing w:after="120"/>
        <w:jc w:val="center"/>
        <w:rPr>
          <w:rFonts w:ascii="Times New Roman" w:hAnsi="Times New Roman" w:cs="Times New Roman"/>
          <w:b/>
          <w:sz w:val="48"/>
          <w:szCs w:val="48"/>
        </w:rPr>
      </w:pPr>
      <w:r w:rsidRPr="00FB4269">
        <w:rPr>
          <w:rFonts w:ascii="Times New Roman" w:hAnsi="Times New Roman" w:cs="Times New Roman"/>
          <w:b/>
          <w:sz w:val="48"/>
          <w:szCs w:val="48"/>
        </w:rPr>
        <w:t>OBRAZLOŽENJE</w:t>
      </w:r>
      <w:r>
        <w:rPr>
          <w:rFonts w:ascii="Times New Roman" w:hAnsi="Times New Roman" w:cs="Times New Roman"/>
          <w:b/>
          <w:sz w:val="48"/>
          <w:szCs w:val="48"/>
        </w:rPr>
        <w:t xml:space="preserve"> </w:t>
      </w:r>
      <w:r w:rsidRPr="00FB4269">
        <w:rPr>
          <w:rFonts w:ascii="Times New Roman" w:hAnsi="Times New Roman" w:cs="Times New Roman"/>
          <w:b/>
          <w:sz w:val="48"/>
          <w:szCs w:val="48"/>
        </w:rPr>
        <w:t>OPĆEG DIJELA</w:t>
      </w:r>
    </w:p>
    <w:p w:rsidR="000A5D0E" w:rsidRPr="000A5D0E" w:rsidRDefault="000A5D0E" w:rsidP="003F3A86">
      <w:pPr>
        <w:pStyle w:val="Odlomakpopisa"/>
        <w:numPr>
          <w:ilvl w:val="0"/>
          <w:numId w:val="23"/>
        </w:numPr>
        <w:spacing w:after="120"/>
        <w:ind w:left="0" w:firstLine="0"/>
        <w:contextualSpacing w:val="0"/>
        <w:jc w:val="center"/>
        <w:rPr>
          <w:rFonts w:ascii="Times New Roman" w:hAnsi="Times New Roman" w:cs="Times New Roman"/>
          <w:b/>
          <w:sz w:val="48"/>
          <w:szCs w:val="48"/>
        </w:rPr>
      </w:pPr>
      <w:r>
        <w:rPr>
          <w:rFonts w:ascii="Times New Roman" w:hAnsi="Times New Roman" w:cs="Times New Roman"/>
          <w:b/>
          <w:sz w:val="48"/>
          <w:szCs w:val="48"/>
        </w:rPr>
        <w:t>IZMJENA I DOPUNA</w:t>
      </w:r>
    </w:p>
    <w:p w:rsidR="00426CF5" w:rsidRDefault="00FB4269" w:rsidP="003F3A86">
      <w:pPr>
        <w:spacing w:after="120"/>
        <w:jc w:val="center"/>
        <w:rPr>
          <w:rFonts w:ascii="Times New Roman" w:hAnsi="Times New Roman" w:cs="Times New Roman"/>
          <w:b/>
          <w:sz w:val="48"/>
          <w:szCs w:val="48"/>
        </w:rPr>
      </w:pPr>
      <w:r w:rsidRPr="00FB4269">
        <w:rPr>
          <w:rFonts w:ascii="Times New Roman" w:hAnsi="Times New Roman" w:cs="Times New Roman"/>
          <w:b/>
          <w:sz w:val="48"/>
          <w:szCs w:val="48"/>
        </w:rPr>
        <w:t>FINANCIJSKOG PLANA</w:t>
      </w:r>
    </w:p>
    <w:p w:rsidR="00FB4269" w:rsidRPr="00FB3430" w:rsidRDefault="009B7A49" w:rsidP="003F3A86">
      <w:pPr>
        <w:spacing w:after="120"/>
        <w:jc w:val="center"/>
        <w:rPr>
          <w:rFonts w:ascii="Times New Roman" w:hAnsi="Times New Roman" w:cs="Times New Roman"/>
          <w:b/>
          <w:sz w:val="48"/>
          <w:szCs w:val="48"/>
        </w:rPr>
        <w:sectPr w:rsidR="00FB4269" w:rsidRPr="00FB3430" w:rsidSect="00FB4269">
          <w:pgSz w:w="11906" w:h="16838" w:code="9"/>
          <w:pgMar w:top="1418" w:right="567" w:bottom="1418" w:left="709" w:header="709" w:footer="709" w:gutter="0"/>
          <w:cols w:space="708"/>
          <w:docGrid w:linePitch="360"/>
        </w:sectPr>
      </w:pPr>
      <w:r>
        <w:rPr>
          <w:rFonts w:ascii="Times New Roman" w:hAnsi="Times New Roman" w:cs="Times New Roman"/>
          <w:b/>
          <w:sz w:val="48"/>
          <w:szCs w:val="48"/>
        </w:rPr>
        <w:t>DOMA ZA STARIJE I NEMOĆNE OSOBE VARAŽDIN ZA 2024</w:t>
      </w:r>
      <w:r w:rsidR="00FB4269" w:rsidRPr="00FB4269">
        <w:rPr>
          <w:rFonts w:ascii="Times New Roman" w:hAnsi="Times New Roman" w:cs="Times New Roman"/>
          <w:b/>
          <w:sz w:val="48"/>
          <w:szCs w:val="48"/>
        </w:rPr>
        <w:t>. GODINU</w:t>
      </w:r>
    </w:p>
    <w:p w:rsidR="00DF6D16" w:rsidRDefault="00DF6D16" w:rsidP="00DF6D16">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Financijski plan odnosno I. Izmjene i dopune Financijskog plana Doma za starije i nemoćne osobe Varaždin za 2024. godinu izrađen je prema metodologiji koja je propisana Zakonom o proračunu (NN 144/21) i podzakonskim aktima – Pravilnikom o proračunskim klasifikacijama (NN 26/10, 120/13 i 1/20), Pravilnikom o proračunskom računovodstvu i Računskom planu (NN 124/14, 115/15, 87/16, 3/18, 126/19 i 108/20) i Zakonom o fiskalnoj odgovornosti (NN 111/18</w:t>
      </w:r>
      <w:r w:rsidR="003F7DBE">
        <w:rPr>
          <w:rFonts w:ascii="Times New Roman" w:hAnsi="Times New Roman" w:cs="Times New Roman"/>
          <w:sz w:val="24"/>
          <w:szCs w:val="24"/>
        </w:rPr>
        <w:t xml:space="preserve"> i 83/23</w:t>
      </w:r>
      <w:r>
        <w:rPr>
          <w:rFonts w:ascii="Times New Roman" w:hAnsi="Times New Roman" w:cs="Times New Roman"/>
          <w:sz w:val="24"/>
          <w:szCs w:val="24"/>
        </w:rPr>
        <w:t>).</w:t>
      </w:r>
    </w:p>
    <w:p w:rsidR="00DF6D16" w:rsidRPr="00EC25A0" w:rsidRDefault="00DF6D16" w:rsidP="00DF6D16">
      <w:pPr>
        <w:spacing w:after="120"/>
        <w:ind w:firstLine="284"/>
        <w:jc w:val="both"/>
        <w:rPr>
          <w:rFonts w:ascii="Times New Roman" w:hAnsi="Times New Roman" w:cs="Times New Roman"/>
          <w:sz w:val="24"/>
          <w:szCs w:val="24"/>
        </w:rPr>
      </w:pPr>
      <w:r w:rsidRPr="00EC25A0">
        <w:rPr>
          <w:rFonts w:ascii="Times New Roman" w:hAnsi="Times New Roman" w:cs="Times New Roman"/>
          <w:sz w:val="24"/>
          <w:szCs w:val="24"/>
        </w:rPr>
        <w:t>Odredbama čl. 46. st. 1. i 2. Zakona o proračunu (NN 144/21) propisano je da se izmjenama i dopunama financijskog plana mijenja isključivo usvojeni plan za tekuću proračunsku godinu te da se na postupak donošenja izmjena i dopuna financijskog plana na odgovarajući način primjenjuju odredbe tog Zakona za postupak donošenja financijskog plana.</w:t>
      </w:r>
    </w:p>
    <w:p w:rsidR="00DF6D16" w:rsidRPr="00795686" w:rsidRDefault="00DF6D16" w:rsidP="00795686">
      <w:pPr>
        <w:spacing w:after="240"/>
        <w:ind w:firstLine="284"/>
        <w:jc w:val="both"/>
        <w:rPr>
          <w:rFonts w:ascii="Times New Roman" w:hAnsi="Times New Roman" w:cs="Times New Roman"/>
          <w:sz w:val="24"/>
          <w:szCs w:val="24"/>
        </w:rPr>
      </w:pPr>
      <w:r w:rsidRPr="00EC25A0">
        <w:rPr>
          <w:rFonts w:ascii="Times New Roman" w:hAnsi="Times New Roman" w:cs="Times New Roman"/>
          <w:sz w:val="24"/>
          <w:szCs w:val="24"/>
        </w:rPr>
        <w:t>Financijski plan</w:t>
      </w:r>
      <w:r>
        <w:rPr>
          <w:rFonts w:ascii="Times New Roman" w:hAnsi="Times New Roman" w:cs="Times New Roman"/>
          <w:sz w:val="24"/>
          <w:szCs w:val="24"/>
        </w:rPr>
        <w:t xml:space="preserve"> odnosno I. Izmjene i d</w:t>
      </w:r>
      <w:r w:rsidR="004650F9">
        <w:rPr>
          <w:rFonts w:ascii="Times New Roman" w:hAnsi="Times New Roman" w:cs="Times New Roman"/>
          <w:sz w:val="24"/>
          <w:szCs w:val="24"/>
        </w:rPr>
        <w:t>opune Financijskog plana za 2024</w:t>
      </w:r>
      <w:r>
        <w:rPr>
          <w:rFonts w:ascii="Times New Roman" w:hAnsi="Times New Roman" w:cs="Times New Roman"/>
          <w:sz w:val="24"/>
          <w:szCs w:val="24"/>
        </w:rPr>
        <w:t>.</w:t>
      </w:r>
      <w:r w:rsidRPr="00EC25A0">
        <w:rPr>
          <w:rFonts w:ascii="Times New Roman" w:hAnsi="Times New Roman" w:cs="Times New Roman"/>
          <w:sz w:val="24"/>
          <w:szCs w:val="24"/>
        </w:rPr>
        <w:t xml:space="preserve"> Doma za starije i nemoćne osobe Varaždin čine prihodi i primici, te rashodi i izdaci raspoređeni u programe koji se sastoje od aktivnosti i projekata, a iskazani su prema ekonomskoj i funkcijskoj klasifika</w:t>
      </w:r>
      <w:r w:rsidR="00795686">
        <w:rPr>
          <w:rFonts w:ascii="Times New Roman" w:hAnsi="Times New Roman" w:cs="Times New Roman"/>
          <w:sz w:val="24"/>
          <w:szCs w:val="24"/>
        </w:rPr>
        <w:t>ciji, te izvorima financiranja.</w:t>
      </w:r>
    </w:p>
    <w:p w:rsidR="001C5B5C" w:rsidRPr="00945E3F" w:rsidRDefault="001C5B5C" w:rsidP="00CA433B">
      <w:pPr>
        <w:spacing w:after="120"/>
        <w:ind w:firstLine="284"/>
        <w:jc w:val="both"/>
        <w:rPr>
          <w:rFonts w:ascii="Times New Roman" w:eastAsia="Times New Roman" w:hAnsi="Times New Roman" w:cs="Times New Roman"/>
          <w:sz w:val="24"/>
          <w:szCs w:val="24"/>
          <w:lang w:eastAsia="hr-HR"/>
        </w:rPr>
      </w:pPr>
      <w:r w:rsidRPr="00945E3F">
        <w:rPr>
          <w:rFonts w:ascii="Times New Roman" w:eastAsia="Times New Roman" w:hAnsi="Times New Roman" w:cs="Times New Roman"/>
          <w:sz w:val="24"/>
          <w:szCs w:val="24"/>
          <w:lang w:eastAsia="hr-HR"/>
        </w:rPr>
        <w:t>Fin</w:t>
      </w:r>
      <w:r w:rsidR="0065062B" w:rsidRPr="00945E3F">
        <w:rPr>
          <w:rFonts w:ascii="Times New Roman" w:eastAsia="Times New Roman" w:hAnsi="Times New Roman" w:cs="Times New Roman"/>
          <w:sz w:val="24"/>
          <w:szCs w:val="24"/>
          <w:lang w:eastAsia="hr-HR"/>
        </w:rPr>
        <w:t>ancijski plan Doma za 2024</w:t>
      </w:r>
      <w:r w:rsidRPr="00945E3F">
        <w:rPr>
          <w:rFonts w:ascii="Times New Roman" w:eastAsia="Times New Roman" w:hAnsi="Times New Roman" w:cs="Times New Roman"/>
          <w:sz w:val="24"/>
          <w:szCs w:val="24"/>
          <w:lang w:eastAsia="hr-HR"/>
        </w:rPr>
        <w:t xml:space="preserve">. </w:t>
      </w:r>
      <w:r w:rsidR="00795686" w:rsidRPr="00945E3F">
        <w:rPr>
          <w:rFonts w:ascii="Times New Roman" w:eastAsia="Times New Roman" w:hAnsi="Times New Roman" w:cs="Times New Roman"/>
          <w:sz w:val="24"/>
          <w:szCs w:val="24"/>
          <w:lang w:eastAsia="hr-HR"/>
        </w:rPr>
        <w:t>g</w:t>
      </w:r>
      <w:r w:rsidRPr="00945E3F">
        <w:rPr>
          <w:rFonts w:ascii="Times New Roman" w:eastAsia="Times New Roman" w:hAnsi="Times New Roman" w:cs="Times New Roman"/>
          <w:sz w:val="24"/>
          <w:szCs w:val="24"/>
          <w:lang w:eastAsia="hr-HR"/>
        </w:rPr>
        <w:t>odinu</w:t>
      </w:r>
      <w:r w:rsidR="00795686" w:rsidRPr="00945E3F">
        <w:rPr>
          <w:rFonts w:ascii="Times New Roman" w:eastAsia="Times New Roman" w:hAnsi="Times New Roman" w:cs="Times New Roman"/>
          <w:sz w:val="24"/>
          <w:szCs w:val="24"/>
          <w:lang w:eastAsia="hr-HR"/>
        </w:rPr>
        <w:t xml:space="preserve"> bio je</w:t>
      </w:r>
      <w:r w:rsidR="0065062B" w:rsidRPr="00945E3F">
        <w:rPr>
          <w:rFonts w:ascii="Times New Roman" w:eastAsia="Times New Roman" w:hAnsi="Times New Roman" w:cs="Times New Roman"/>
          <w:sz w:val="24"/>
          <w:szCs w:val="24"/>
          <w:lang w:eastAsia="hr-HR"/>
        </w:rPr>
        <w:t xml:space="preserve"> </w:t>
      </w:r>
      <w:r w:rsidR="00EC25A0" w:rsidRPr="00945E3F">
        <w:rPr>
          <w:rFonts w:ascii="Times New Roman" w:eastAsia="Times New Roman" w:hAnsi="Times New Roman" w:cs="Times New Roman"/>
          <w:sz w:val="24"/>
          <w:szCs w:val="24"/>
          <w:lang w:eastAsia="hr-HR"/>
        </w:rPr>
        <w:t>planiran</w:t>
      </w:r>
      <w:r w:rsidR="0065062B" w:rsidRPr="00945E3F">
        <w:rPr>
          <w:rFonts w:ascii="Times New Roman" w:eastAsia="Times New Roman" w:hAnsi="Times New Roman" w:cs="Times New Roman"/>
          <w:sz w:val="24"/>
          <w:szCs w:val="24"/>
          <w:lang w:eastAsia="hr-HR"/>
        </w:rPr>
        <w:t xml:space="preserve"> u iznosu od 3.387.427</w:t>
      </w:r>
      <w:r w:rsidRPr="00945E3F">
        <w:rPr>
          <w:rFonts w:ascii="Times New Roman" w:eastAsia="Times New Roman" w:hAnsi="Times New Roman" w:cs="Times New Roman"/>
          <w:sz w:val="24"/>
          <w:szCs w:val="24"/>
          <w:lang w:eastAsia="hr-HR"/>
        </w:rPr>
        <w:t>,00 EUR</w:t>
      </w:r>
      <w:r w:rsidR="00EC25A0" w:rsidRPr="00945E3F">
        <w:rPr>
          <w:rFonts w:ascii="Times New Roman" w:eastAsia="Times New Roman" w:hAnsi="Times New Roman" w:cs="Times New Roman"/>
          <w:sz w:val="24"/>
          <w:szCs w:val="24"/>
          <w:lang w:eastAsia="hr-HR"/>
        </w:rPr>
        <w:t>, a  s</w:t>
      </w:r>
      <w:r w:rsidR="006E2876" w:rsidRPr="00945E3F">
        <w:rPr>
          <w:rFonts w:ascii="Times New Roman" w:eastAsia="Times New Roman" w:hAnsi="Times New Roman" w:cs="Times New Roman"/>
          <w:sz w:val="24"/>
          <w:szCs w:val="24"/>
          <w:lang w:eastAsia="hr-HR"/>
        </w:rPr>
        <w:t>trukturu F</w:t>
      </w:r>
      <w:r w:rsidR="00945E3F" w:rsidRPr="00945E3F">
        <w:rPr>
          <w:rFonts w:ascii="Times New Roman" w:eastAsia="Times New Roman" w:hAnsi="Times New Roman" w:cs="Times New Roman"/>
          <w:sz w:val="24"/>
          <w:szCs w:val="24"/>
          <w:lang w:eastAsia="hr-HR"/>
        </w:rPr>
        <w:t>inancijskog plana činili su</w:t>
      </w:r>
      <w:r w:rsidRPr="00945E3F">
        <w:rPr>
          <w:rFonts w:ascii="Times New Roman" w:eastAsia="Times New Roman" w:hAnsi="Times New Roman" w:cs="Times New Roman"/>
          <w:sz w:val="24"/>
          <w:szCs w:val="24"/>
          <w:lang w:eastAsia="hr-HR"/>
        </w:rPr>
        <w:t>:</w:t>
      </w:r>
    </w:p>
    <w:p w:rsidR="001C5B5C" w:rsidRPr="00945E3F" w:rsidRDefault="001C5B5C" w:rsidP="00FB3430">
      <w:pPr>
        <w:numPr>
          <w:ilvl w:val="0"/>
          <w:numId w:val="6"/>
        </w:numPr>
        <w:spacing w:after="120" w:line="240" w:lineRule="auto"/>
        <w:ind w:left="709" w:firstLine="284"/>
        <w:jc w:val="both"/>
        <w:rPr>
          <w:rFonts w:ascii="Times New Roman" w:eastAsia="Times New Roman" w:hAnsi="Times New Roman" w:cs="Times New Roman"/>
          <w:sz w:val="24"/>
          <w:szCs w:val="24"/>
          <w:lang w:eastAsia="hr-HR"/>
        </w:rPr>
      </w:pPr>
      <w:r w:rsidRPr="00945E3F">
        <w:rPr>
          <w:rFonts w:ascii="Times New Roman" w:eastAsia="Times New Roman" w:hAnsi="Times New Roman" w:cs="Times New Roman"/>
          <w:sz w:val="24"/>
          <w:szCs w:val="24"/>
          <w:lang w:eastAsia="hr-HR"/>
        </w:rPr>
        <w:t xml:space="preserve">Prihodi </w:t>
      </w:r>
      <w:r w:rsidR="0065062B" w:rsidRPr="00945E3F">
        <w:rPr>
          <w:rFonts w:ascii="Times New Roman" w:eastAsia="Times New Roman" w:hAnsi="Times New Roman" w:cs="Times New Roman"/>
          <w:sz w:val="24"/>
          <w:szCs w:val="24"/>
          <w:lang w:eastAsia="hr-HR"/>
        </w:rPr>
        <w:t>poslovanja: 3.387.427</w:t>
      </w:r>
      <w:r w:rsidRPr="00945E3F">
        <w:rPr>
          <w:rFonts w:ascii="Times New Roman" w:eastAsia="Times New Roman" w:hAnsi="Times New Roman" w:cs="Times New Roman"/>
          <w:sz w:val="24"/>
          <w:szCs w:val="24"/>
          <w:lang w:eastAsia="hr-HR"/>
        </w:rPr>
        <w:t>,00 EUR</w:t>
      </w:r>
    </w:p>
    <w:p w:rsidR="001C5B5C" w:rsidRPr="00945E3F" w:rsidRDefault="001C5B5C" w:rsidP="00FB3430">
      <w:pPr>
        <w:numPr>
          <w:ilvl w:val="0"/>
          <w:numId w:val="6"/>
        </w:numPr>
        <w:spacing w:after="120" w:line="240" w:lineRule="auto"/>
        <w:ind w:left="709" w:firstLine="284"/>
        <w:jc w:val="both"/>
        <w:rPr>
          <w:rFonts w:ascii="Times New Roman" w:eastAsia="Times New Roman" w:hAnsi="Times New Roman" w:cs="Times New Roman"/>
          <w:sz w:val="24"/>
          <w:szCs w:val="24"/>
          <w:lang w:eastAsia="hr-HR"/>
        </w:rPr>
      </w:pPr>
      <w:r w:rsidRPr="00945E3F">
        <w:rPr>
          <w:rFonts w:ascii="Times New Roman" w:eastAsia="Times New Roman" w:hAnsi="Times New Roman" w:cs="Times New Roman"/>
          <w:sz w:val="24"/>
          <w:szCs w:val="24"/>
          <w:lang w:eastAsia="hr-HR"/>
        </w:rPr>
        <w:t>Rashodi poslovanja:</w:t>
      </w:r>
      <w:r w:rsidR="0065062B" w:rsidRPr="00945E3F">
        <w:rPr>
          <w:rFonts w:ascii="Times New Roman" w:eastAsia="Times New Roman" w:hAnsi="Times New Roman" w:cs="Times New Roman"/>
          <w:sz w:val="24"/>
          <w:szCs w:val="24"/>
          <w:lang w:eastAsia="hr-HR"/>
        </w:rPr>
        <w:t xml:space="preserve"> 3.224.106</w:t>
      </w:r>
      <w:r w:rsidRPr="00945E3F">
        <w:rPr>
          <w:rFonts w:ascii="Times New Roman" w:eastAsia="Times New Roman" w:hAnsi="Times New Roman" w:cs="Times New Roman"/>
          <w:sz w:val="24"/>
          <w:szCs w:val="24"/>
          <w:lang w:eastAsia="hr-HR"/>
        </w:rPr>
        <w:t>,00 EUR</w:t>
      </w:r>
    </w:p>
    <w:p w:rsidR="006E50A6" w:rsidRPr="00945E3F" w:rsidRDefault="001C5B5C" w:rsidP="006E50A6">
      <w:pPr>
        <w:numPr>
          <w:ilvl w:val="0"/>
          <w:numId w:val="6"/>
        </w:numPr>
        <w:spacing w:after="120"/>
        <w:ind w:left="709" w:firstLine="284"/>
        <w:jc w:val="both"/>
        <w:rPr>
          <w:rFonts w:ascii="Times New Roman" w:eastAsia="Times New Roman" w:hAnsi="Times New Roman" w:cs="Times New Roman"/>
          <w:sz w:val="24"/>
          <w:szCs w:val="24"/>
          <w:lang w:eastAsia="hr-HR"/>
        </w:rPr>
      </w:pPr>
      <w:r w:rsidRPr="00945E3F">
        <w:rPr>
          <w:rFonts w:ascii="Times New Roman" w:eastAsia="Times New Roman" w:hAnsi="Times New Roman" w:cs="Times New Roman"/>
          <w:sz w:val="24"/>
          <w:szCs w:val="24"/>
          <w:lang w:eastAsia="hr-HR"/>
        </w:rPr>
        <w:t xml:space="preserve">Rashodi za </w:t>
      </w:r>
      <w:r w:rsidR="0065062B" w:rsidRPr="00945E3F">
        <w:rPr>
          <w:rFonts w:ascii="Times New Roman" w:eastAsia="Times New Roman" w:hAnsi="Times New Roman" w:cs="Times New Roman"/>
          <w:sz w:val="24"/>
          <w:szCs w:val="24"/>
          <w:lang w:eastAsia="hr-HR"/>
        </w:rPr>
        <w:t>nabavu nefinancijske imovine: 35.454</w:t>
      </w:r>
      <w:r w:rsidRPr="00945E3F">
        <w:rPr>
          <w:rFonts w:ascii="Times New Roman" w:eastAsia="Times New Roman" w:hAnsi="Times New Roman" w:cs="Times New Roman"/>
          <w:sz w:val="24"/>
          <w:szCs w:val="24"/>
          <w:lang w:eastAsia="hr-HR"/>
        </w:rPr>
        <w:t>,00 EUR</w:t>
      </w:r>
      <w:r w:rsidRPr="00945E3F">
        <w:rPr>
          <w:rFonts w:ascii="Times New Roman" w:eastAsia="Times New Roman" w:hAnsi="Times New Roman" w:cs="Times New Roman"/>
          <w:sz w:val="24"/>
          <w:szCs w:val="24"/>
          <w:lang w:eastAsia="hr-HR"/>
        </w:rPr>
        <w:tab/>
      </w:r>
    </w:p>
    <w:p w:rsidR="00945E3F" w:rsidRPr="00945E3F" w:rsidRDefault="00945E3F" w:rsidP="006E50A6">
      <w:pPr>
        <w:numPr>
          <w:ilvl w:val="0"/>
          <w:numId w:val="6"/>
        </w:numPr>
        <w:spacing w:after="120"/>
        <w:ind w:left="709" w:firstLine="284"/>
        <w:jc w:val="both"/>
        <w:rPr>
          <w:rFonts w:ascii="Times New Roman" w:eastAsia="Times New Roman" w:hAnsi="Times New Roman" w:cs="Times New Roman"/>
          <w:sz w:val="24"/>
          <w:szCs w:val="24"/>
          <w:lang w:eastAsia="hr-HR"/>
        </w:rPr>
      </w:pPr>
      <w:r w:rsidRPr="00945E3F">
        <w:rPr>
          <w:rFonts w:ascii="Times New Roman" w:eastAsia="Times New Roman" w:hAnsi="Times New Roman" w:cs="Times New Roman"/>
          <w:sz w:val="24"/>
          <w:szCs w:val="24"/>
          <w:lang w:eastAsia="hr-HR"/>
        </w:rPr>
        <w:t>Izdaci za financijsku imovinu i otplate zajmova: 107.867,00 EUR</w:t>
      </w:r>
    </w:p>
    <w:p w:rsidR="007F54A4" w:rsidRPr="002E1C0B" w:rsidRDefault="00945E3F" w:rsidP="007F54A4">
      <w:pPr>
        <w:pStyle w:val="Odlomakpopisa"/>
        <w:numPr>
          <w:ilvl w:val="0"/>
          <w:numId w:val="25"/>
        </w:numPr>
        <w:spacing w:after="120"/>
        <w:ind w:left="0" w:firstLine="284"/>
        <w:jc w:val="both"/>
        <w:rPr>
          <w:rFonts w:ascii="Times New Roman" w:eastAsia="Times New Roman" w:hAnsi="Times New Roman" w:cs="Times New Roman"/>
          <w:sz w:val="24"/>
          <w:szCs w:val="24"/>
          <w:lang w:eastAsia="hr-HR"/>
        </w:rPr>
      </w:pPr>
      <w:r w:rsidRPr="002E1C0B">
        <w:rPr>
          <w:rFonts w:ascii="Times New Roman" w:eastAsia="Times New Roman" w:hAnsi="Times New Roman" w:cs="Times New Roman"/>
          <w:sz w:val="24"/>
          <w:szCs w:val="24"/>
          <w:lang w:eastAsia="hr-HR"/>
        </w:rPr>
        <w:t>Izmjenama i dopunama Financijski plan Doma za 2024. go</w:t>
      </w:r>
      <w:r w:rsidR="004650F9">
        <w:rPr>
          <w:rFonts w:ascii="Times New Roman" w:eastAsia="Times New Roman" w:hAnsi="Times New Roman" w:cs="Times New Roman"/>
          <w:sz w:val="24"/>
          <w:szCs w:val="24"/>
          <w:lang w:eastAsia="hr-HR"/>
        </w:rPr>
        <w:t>dinu planiran je u iznosu od 4.2</w:t>
      </w:r>
      <w:r w:rsidRPr="002E1C0B">
        <w:rPr>
          <w:rFonts w:ascii="Times New Roman" w:eastAsia="Times New Roman" w:hAnsi="Times New Roman" w:cs="Times New Roman"/>
          <w:sz w:val="24"/>
          <w:szCs w:val="24"/>
          <w:lang w:eastAsia="hr-HR"/>
        </w:rPr>
        <w:t>45.109,00 EUR, a strukturu Financijskog plana čine:</w:t>
      </w:r>
    </w:p>
    <w:p w:rsidR="007F54A4" w:rsidRPr="00945E3F" w:rsidRDefault="007F54A4" w:rsidP="007F54A4">
      <w:pPr>
        <w:numPr>
          <w:ilvl w:val="0"/>
          <w:numId w:val="6"/>
        </w:numPr>
        <w:spacing w:after="120" w:line="240" w:lineRule="auto"/>
        <w:ind w:left="709" w:firstLine="284"/>
        <w:jc w:val="both"/>
        <w:rPr>
          <w:rFonts w:ascii="Times New Roman" w:eastAsia="Times New Roman" w:hAnsi="Times New Roman" w:cs="Times New Roman"/>
          <w:sz w:val="24"/>
          <w:szCs w:val="24"/>
          <w:lang w:eastAsia="hr-HR"/>
        </w:rPr>
      </w:pPr>
      <w:r w:rsidRPr="00945E3F">
        <w:rPr>
          <w:rFonts w:ascii="Times New Roman" w:eastAsia="Times New Roman" w:hAnsi="Times New Roman" w:cs="Times New Roman"/>
          <w:sz w:val="24"/>
          <w:szCs w:val="24"/>
          <w:lang w:eastAsia="hr-HR"/>
        </w:rPr>
        <w:t xml:space="preserve">Prihodi </w:t>
      </w:r>
      <w:r w:rsidR="004650F9">
        <w:rPr>
          <w:rFonts w:ascii="Times New Roman" w:eastAsia="Times New Roman" w:hAnsi="Times New Roman" w:cs="Times New Roman"/>
          <w:sz w:val="24"/>
          <w:szCs w:val="24"/>
          <w:lang w:eastAsia="hr-HR"/>
        </w:rPr>
        <w:t>poslovanja: 4.2</w:t>
      </w:r>
      <w:r w:rsidR="002E1C0B">
        <w:rPr>
          <w:rFonts w:ascii="Times New Roman" w:eastAsia="Times New Roman" w:hAnsi="Times New Roman" w:cs="Times New Roman"/>
          <w:sz w:val="24"/>
          <w:szCs w:val="24"/>
          <w:lang w:eastAsia="hr-HR"/>
        </w:rPr>
        <w:t>45.109</w:t>
      </w:r>
      <w:r w:rsidRPr="00945E3F">
        <w:rPr>
          <w:rFonts w:ascii="Times New Roman" w:eastAsia="Times New Roman" w:hAnsi="Times New Roman" w:cs="Times New Roman"/>
          <w:sz w:val="24"/>
          <w:szCs w:val="24"/>
          <w:lang w:eastAsia="hr-HR"/>
        </w:rPr>
        <w:t>,00 EUR</w:t>
      </w:r>
    </w:p>
    <w:p w:rsidR="007F54A4" w:rsidRPr="00945E3F" w:rsidRDefault="007F54A4" w:rsidP="007F54A4">
      <w:pPr>
        <w:numPr>
          <w:ilvl w:val="0"/>
          <w:numId w:val="6"/>
        </w:numPr>
        <w:spacing w:after="120" w:line="240" w:lineRule="auto"/>
        <w:ind w:left="709" w:firstLine="284"/>
        <w:jc w:val="both"/>
        <w:rPr>
          <w:rFonts w:ascii="Times New Roman" w:eastAsia="Times New Roman" w:hAnsi="Times New Roman" w:cs="Times New Roman"/>
          <w:sz w:val="24"/>
          <w:szCs w:val="24"/>
          <w:lang w:eastAsia="hr-HR"/>
        </w:rPr>
      </w:pPr>
      <w:r w:rsidRPr="00945E3F">
        <w:rPr>
          <w:rFonts w:ascii="Times New Roman" w:eastAsia="Times New Roman" w:hAnsi="Times New Roman" w:cs="Times New Roman"/>
          <w:sz w:val="24"/>
          <w:szCs w:val="24"/>
          <w:lang w:eastAsia="hr-HR"/>
        </w:rPr>
        <w:t>Rashodi poslovanja:</w:t>
      </w:r>
      <w:r w:rsidR="004650F9">
        <w:rPr>
          <w:rFonts w:ascii="Times New Roman" w:eastAsia="Times New Roman" w:hAnsi="Times New Roman" w:cs="Times New Roman"/>
          <w:sz w:val="24"/>
          <w:szCs w:val="24"/>
          <w:lang w:eastAsia="hr-HR"/>
        </w:rPr>
        <w:t xml:space="preserve"> 3.9</w:t>
      </w:r>
      <w:r w:rsidR="002E1C0B">
        <w:rPr>
          <w:rFonts w:ascii="Times New Roman" w:eastAsia="Times New Roman" w:hAnsi="Times New Roman" w:cs="Times New Roman"/>
          <w:sz w:val="24"/>
          <w:szCs w:val="24"/>
          <w:lang w:eastAsia="hr-HR"/>
        </w:rPr>
        <w:t>19.493</w:t>
      </w:r>
      <w:r w:rsidRPr="00945E3F">
        <w:rPr>
          <w:rFonts w:ascii="Times New Roman" w:eastAsia="Times New Roman" w:hAnsi="Times New Roman" w:cs="Times New Roman"/>
          <w:sz w:val="24"/>
          <w:szCs w:val="24"/>
          <w:lang w:eastAsia="hr-HR"/>
        </w:rPr>
        <w:t>,00 EUR</w:t>
      </w:r>
    </w:p>
    <w:p w:rsidR="007F54A4" w:rsidRPr="00945E3F" w:rsidRDefault="007F54A4" w:rsidP="007F54A4">
      <w:pPr>
        <w:numPr>
          <w:ilvl w:val="0"/>
          <w:numId w:val="6"/>
        </w:numPr>
        <w:spacing w:after="120"/>
        <w:ind w:left="709" w:firstLine="284"/>
        <w:jc w:val="both"/>
        <w:rPr>
          <w:rFonts w:ascii="Times New Roman" w:eastAsia="Times New Roman" w:hAnsi="Times New Roman" w:cs="Times New Roman"/>
          <w:sz w:val="24"/>
          <w:szCs w:val="24"/>
          <w:lang w:eastAsia="hr-HR"/>
        </w:rPr>
      </w:pPr>
      <w:r w:rsidRPr="00945E3F">
        <w:rPr>
          <w:rFonts w:ascii="Times New Roman" w:eastAsia="Times New Roman" w:hAnsi="Times New Roman" w:cs="Times New Roman"/>
          <w:sz w:val="24"/>
          <w:szCs w:val="24"/>
          <w:lang w:eastAsia="hr-HR"/>
        </w:rPr>
        <w:t xml:space="preserve">Rashodi za </w:t>
      </w:r>
      <w:r w:rsidR="002E1C0B">
        <w:rPr>
          <w:rFonts w:ascii="Times New Roman" w:eastAsia="Times New Roman" w:hAnsi="Times New Roman" w:cs="Times New Roman"/>
          <w:sz w:val="24"/>
          <w:szCs w:val="24"/>
          <w:lang w:eastAsia="hr-HR"/>
        </w:rPr>
        <w:t>nabavu nefinancijske imovine: 201.399</w:t>
      </w:r>
      <w:r w:rsidRPr="00945E3F">
        <w:rPr>
          <w:rFonts w:ascii="Times New Roman" w:eastAsia="Times New Roman" w:hAnsi="Times New Roman" w:cs="Times New Roman"/>
          <w:sz w:val="24"/>
          <w:szCs w:val="24"/>
          <w:lang w:eastAsia="hr-HR"/>
        </w:rPr>
        <w:t>,00 EUR</w:t>
      </w:r>
      <w:r w:rsidRPr="00945E3F">
        <w:rPr>
          <w:rFonts w:ascii="Times New Roman" w:eastAsia="Times New Roman" w:hAnsi="Times New Roman" w:cs="Times New Roman"/>
          <w:sz w:val="24"/>
          <w:szCs w:val="24"/>
          <w:lang w:eastAsia="hr-HR"/>
        </w:rPr>
        <w:tab/>
      </w:r>
    </w:p>
    <w:p w:rsidR="007F54A4" w:rsidRPr="00945E3F" w:rsidRDefault="007F54A4" w:rsidP="007F54A4">
      <w:pPr>
        <w:numPr>
          <w:ilvl w:val="0"/>
          <w:numId w:val="6"/>
        </w:numPr>
        <w:spacing w:after="120"/>
        <w:ind w:left="709" w:firstLine="284"/>
        <w:jc w:val="both"/>
        <w:rPr>
          <w:rFonts w:ascii="Times New Roman" w:eastAsia="Times New Roman" w:hAnsi="Times New Roman" w:cs="Times New Roman"/>
          <w:sz w:val="24"/>
          <w:szCs w:val="24"/>
          <w:lang w:eastAsia="hr-HR"/>
        </w:rPr>
      </w:pPr>
      <w:r w:rsidRPr="00945E3F">
        <w:rPr>
          <w:rFonts w:ascii="Times New Roman" w:eastAsia="Times New Roman" w:hAnsi="Times New Roman" w:cs="Times New Roman"/>
          <w:sz w:val="24"/>
          <w:szCs w:val="24"/>
          <w:lang w:eastAsia="hr-HR"/>
        </w:rPr>
        <w:t>Izdaci za financijsku imovinu i otplate zajmova: 107.867,00 EUR</w:t>
      </w:r>
    </w:p>
    <w:p w:rsidR="007F54A4" w:rsidRPr="007F54A4" w:rsidRDefault="007F54A4" w:rsidP="007F54A4">
      <w:pPr>
        <w:spacing w:after="120"/>
        <w:jc w:val="both"/>
        <w:rPr>
          <w:rFonts w:ascii="Times New Roman" w:eastAsia="Times New Roman" w:hAnsi="Times New Roman" w:cs="Times New Roman"/>
          <w:color w:val="FF0000"/>
          <w:sz w:val="24"/>
          <w:szCs w:val="24"/>
          <w:lang w:eastAsia="hr-HR"/>
        </w:rPr>
      </w:pPr>
    </w:p>
    <w:p w:rsidR="00CA433B" w:rsidRDefault="00954DE9" w:rsidP="00125A95">
      <w:pPr>
        <w:tabs>
          <w:tab w:val="left" w:pos="284"/>
        </w:tabs>
        <w:spacing w:after="120"/>
        <w:jc w:val="both"/>
        <w:rPr>
          <w:rFonts w:ascii="Times New Roman" w:eastAsia="Times New Roman" w:hAnsi="Times New Roman" w:cs="Times New Roman"/>
          <w:sz w:val="24"/>
          <w:szCs w:val="24"/>
          <w:lang w:eastAsia="hr-HR"/>
        </w:rPr>
      </w:pPr>
      <w:r w:rsidRPr="002E1C0B">
        <w:rPr>
          <w:rFonts w:ascii="Times New Roman" w:eastAsia="Times New Roman" w:hAnsi="Times New Roman" w:cs="Times New Roman"/>
          <w:sz w:val="24"/>
          <w:szCs w:val="24"/>
          <w:lang w:eastAsia="hr-HR"/>
        </w:rPr>
        <w:t xml:space="preserve">    </w:t>
      </w:r>
      <w:r w:rsidRPr="002E1C0B">
        <w:rPr>
          <w:rFonts w:ascii="Times New Roman" w:hAnsi="Times New Roman" w:cs="Times New Roman"/>
          <w:sz w:val="24"/>
          <w:szCs w:val="24"/>
        </w:rPr>
        <w:t xml:space="preserve">U okviru decentraliziranih sredstava za djelatnost socijalne skrbi osiguravaju se sredstva za minimalni standard socijalnih ustanova. Visinu sredstava za postizanje minimalnih standarda za svaku proračunsku godinu utvrđuje Vlada Republike Hrvatske Odlukom. Kod domova za starije i nemoćne osobe minimalni standard je propisan za rashode za zaposlene, materijalne rashode, hitne intervencije i rashode za nabavu nefinancijske imovine. Pojedina županija Odlukom raspoređuje sredstva minimalnog standarda na korisnike. Ovim programom želi se održavati i unaprijediti standard i kvaliteta usluga koje se pružaju korisnicima te osigurati redovito poslovanje Doma. </w:t>
      </w:r>
      <w:r w:rsidR="001C5B5C" w:rsidRPr="002E1C0B">
        <w:rPr>
          <w:rFonts w:ascii="Times New Roman" w:eastAsia="Times New Roman" w:hAnsi="Times New Roman" w:cs="Times New Roman"/>
          <w:sz w:val="24"/>
          <w:szCs w:val="24"/>
          <w:lang w:eastAsia="hr-HR"/>
        </w:rPr>
        <w:t>D</w:t>
      </w:r>
      <w:r w:rsidR="00FB0FB0" w:rsidRPr="002E1C0B">
        <w:rPr>
          <w:rFonts w:ascii="Times New Roman" w:eastAsia="Times New Roman" w:hAnsi="Times New Roman" w:cs="Times New Roman"/>
          <w:sz w:val="24"/>
          <w:szCs w:val="24"/>
          <w:lang w:eastAsia="hr-HR"/>
        </w:rPr>
        <w:t>ecentralizirana sredstva za 2024</w:t>
      </w:r>
      <w:r w:rsidR="001C5B5C" w:rsidRPr="002E1C0B">
        <w:rPr>
          <w:rFonts w:ascii="Times New Roman" w:eastAsia="Times New Roman" w:hAnsi="Times New Roman" w:cs="Times New Roman"/>
          <w:sz w:val="24"/>
          <w:szCs w:val="24"/>
          <w:lang w:eastAsia="hr-HR"/>
        </w:rPr>
        <w:t xml:space="preserve">. </w:t>
      </w:r>
      <w:r w:rsidR="002E1C0B" w:rsidRPr="002E1C0B">
        <w:rPr>
          <w:rFonts w:ascii="Times New Roman" w:eastAsia="Times New Roman" w:hAnsi="Times New Roman" w:cs="Times New Roman"/>
          <w:sz w:val="24"/>
          <w:szCs w:val="24"/>
          <w:lang w:eastAsia="hr-HR"/>
        </w:rPr>
        <w:t>g</w:t>
      </w:r>
      <w:r w:rsidR="001C5B5C" w:rsidRPr="002E1C0B">
        <w:rPr>
          <w:rFonts w:ascii="Times New Roman" w:eastAsia="Times New Roman" w:hAnsi="Times New Roman" w:cs="Times New Roman"/>
          <w:sz w:val="24"/>
          <w:szCs w:val="24"/>
          <w:lang w:eastAsia="hr-HR"/>
        </w:rPr>
        <w:t>odinu</w:t>
      </w:r>
      <w:r w:rsidR="002E1C0B" w:rsidRPr="002E1C0B">
        <w:rPr>
          <w:rFonts w:ascii="Times New Roman" w:eastAsia="Times New Roman" w:hAnsi="Times New Roman" w:cs="Times New Roman"/>
          <w:sz w:val="24"/>
          <w:szCs w:val="24"/>
          <w:lang w:eastAsia="hr-HR"/>
        </w:rPr>
        <w:t xml:space="preserve"> najprije su povećana </w:t>
      </w:r>
      <w:r w:rsidR="00FB0FB0" w:rsidRPr="002E1C0B">
        <w:rPr>
          <w:rFonts w:ascii="Times New Roman" w:eastAsia="Times New Roman" w:hAnsi="Times New Roman" w:cs="Times New Roman"/>
          <w:sz w:val="24"/>
          <w:szCs w:val="24"/>
          <w:lang w:eastAsia="hr-HR"/>
        </w:rPr>
        <w:t>za 3%</w:t>
      </w:r>
      <w:r w:rsidR="002E1C0B" w:rsidRPr="002E1C0B">
        <w:rPr>
          <w:rFonts w:ascii="Times New Roman" w:eastAsia="Times New Roman" w:hAnsi="Times New Roman" w:cs="Times New Roman"/>
          <w:sz w:val="24"/>
          <w:szCs w:val="24"/>
          <w:lang w:eastAsia="hr-HR"/>
        </w:rPr>
        <w:t>, a kasnije još za 2%</w:t>
      </w:r>
      <w:r w:rsidR="00FB0FB0" w:rsidRPr="002E1C0B">
        <w:rPr>
          <w:rFonts w:ascii="Times New Roman" w:eastAsia="Times New Roman" w:hAnsi="Times New Roman" w:cs="Times New Roman"/>
          <w:sz w:val="24"/>
          <w:szCs w:val="24"/>
          <w:lang w:eastAsia="hr-HR"/>
        </w:rPr>
        <w:t xml:space="preserve"> u odnosu na 2023. godinu</w:t>
      </w:r>
      <w:r w:rsidR="001C5B5C" w:rsidRPr="002E1C0B">
        <w:rPr>
          <w:rFonts w:ascii="Times New Roman" w:eastAsia="Times New Roman" w:hAnsi="Times New Roman" w:cs="Times New Roman"/>
          <w:sz w:val="24"/>
          <w:szCs w:val="24"/>
          <w:lang w:eastAsia="hr-HR"/>
        </w:rPr>
        <w:t xml:space="preserve"> i</w:t>
      </w:r>
      <w:r w:rsidR="002E1C0B" w:rsidRPr="002E1C0B">
        <w:rPr>
          <w:rFonts w:ascii="Times New Roman" w:eastAsia="Times New Roman" w:hAnsi="Times New Roman" w:cs="Times New Roman"/>
          <w:sz w:val="24"/>
          <w:szCs w:val="24"/>
          <w:lang w:eastAsia="hr-HR"/>
        </w:rPr>
        <w:t xml:space="preserve"> ukupno</w:t>
      </w:r>
      <w:r w:rsidR="001C5B5C" w:rsidRPr="002E1C0B">
        <w:rPr>
          <w:rFonts w:ascii="Times New Roman" w:eastAsia="Times New Roman" w:hAnsi="Times New Roman" w:cs="Times New Roman"/>
          <w:sz w:val="24"/>
          <w:szCs w:val="24"/>
          <w:lang w:eastAsia="hr-HR"/>
        </w:rPr>
        <w:t xml:space="preserve"> </w:t>
      </w:r>
      <w:r w:rsidR="00EC25A0" w:rsidRPr="002E1C0B">
        <w:rPr>
          <w:rFonts w:ascii="Times New Roman" w:eastAsia="Times New Roman" w:hAnsi="Times New Roman" w:cs="Times New Roman"/>
          <w:sz w:val="24"/>
          <w:szCs w:val="24"/>
          <w:lang w:eastAsia="hr-HR"/>
        </w:rPr>
        <w:t xml:space="preserve">iznose </w:t>
      </w:r>
      <w:r w:rsidR="002E1C0B" w:rsidRPr="002E1C0B">
        <w:rPr>
          <w:rFonts w:ascii="Times New Roman" w:eastAsia="Times New Roman" w:hAnsi="Times New Roman" w:cs="Times New Roman"/>
          <w:sz w:val="24"/>
          <w:szCs w:val="24"/>
          <w:lang w:eastAsia="hr-HR"/>
        </w:rPr>
        <w:t>614.679</w:t>
      </w:r>
      <w:r w:rsidR="001C5B5C" w:rsidRPr="002E1C0B">
        <w:rPr>
          <w:rFonts w:ascii="Times New Roman" w:eastAsia="Times New Roman" w:hAnsi="Times New Roman" w:cs="Times New Roman"/>
          <w:sz w:val="24"/>
          <w:szCs w:val="24"/>
          <w:lang w:eastAsia="hr-HR"/>
        </w:rPr>
        <w:t xml:space="preserve">,00 EUR. </w:t>
      </w:r>
    </w:p>
    <w:p w:rsidR="000A7C75" w:rsidRDefault="000A7C75" w:rsidP="00125A95">
      <w:pPr>
        <w:tabs>
          <w:tab w:val="left" w:pos="284"/>
        </w:tabs>
        <w:spacing w:after="120"/>
        <w:jc w:val="both"/>
        <w:rPr>
          <w:rFonts w:ascii="Times New Roman" w:eastAsia="Times New Roman" w:hAnsi="Times New Roman" w:cs="Times New Roman"/>
          <w:sz w:val="24"/>
          <w:szCs w:val="24"/>
          <w:lang w:eastAsia="hr-HR"/>
        </w:rPr>
      </w:pPr>
    </w:p>
    <w:p w:rsidR="00CA433B" w:rsidRPr="00CA433B" w:rsidRDefault="00CA433B" w:rsidP="004A2D85">
      <w:pPr>
        <w:pStyle w:val="Odlomakpopisa"/>
        <w:numPr>
          <w:ilvl w:val="0"/>
          <w:numId w:val="16"/>
        </w:numPr>
        <w:spacing w:after="240"/>
        <w:ind w:left="284" w:hanging="284"/>
        <w:jc w:val="both"/>
        <w:rPr>
          <w:rFonts w:ascii="Times New Roman" w:hAnsi="Times New Roman" w:cs="Times New Roman"/>
          <w:b/>
          <w:i/>
          <w:sz w:val="24"/>
          <w:szCs w:val="24"/>
          <w:u w:val="single"/>
        </w:rPr>
      </w:pPr>
      <w:r w:rsidRPr="006A267F">
        <w:rPr>
          <w:rFonts w:ascii="Times New Roman" w:hAnsi="Times New Roman" w:cs="Times New Roman"/>
          <w:b/>
          <w:i/>
          <w:sz w:val="24"/>
          <w:szCs w:val="24"/>
          <w:u w:val="single"/>
        </w:rPr>
        <w:lastRenderedPageBreak/>
        <w:t>PRIHODI I PRIMICI</w:t>
      </w:r>
    </w:p>
    <w:p w:rsidR="001C5B5C" w:rsidRPr="00972FA5" w:rsidRDefault="00236A28" w:rsidP="00CF4739">
      <w:pPr>
        <w:spacing w:after="240"/>
        <w:ind w:firstLine="284"/>
        <w:jc w:val="both"/>
        <w:rPr>
          <w:rFonts w:ascii="Times New Roman" w:eastAsia="Times New Roman" w:hAnsi="Times New Roman" w:cs="Times New Roman"/>
          <w:sz w:val="24"/>
          <w:szCs w:val="24"/>
          <w:lang w:eastAsia="hr-HR"/>
        </w:rPr>
      </w:pPr>
      <w:r w:rsidRPr="00972FA5">
        <w:rPr>
          <w:rFonts w:ascii="Times New Roman" w:eastAsia="Times New Roman" w:hAnsi="Times New Roman" w:cs="Times New Roman"/>
          <w:sz w:val="24"/>
          <w:szCs w:val="24"/>
          <w:lang w:eastAsia="hr-HR"/>
        </w:rPr>
        <w:t>P</w:t>
      </w:r>
      <w:r w:rsidR="00FB3430" w:rsidRPr="00972FA5">
        <w:rPr>
          <w:rFonts w:ascii="Times New Roman" w:eastAsia="Times New Roman" w:hAnsi="Times New Roman" w:cs="Times New Roman"/>
          <w:sz w:val="24"/>
          <w:szCs w:val="24"/>
          <w:lang w:eastAsia="hr-HR"/>
        </w:rPr>
        <w:t>regled prihoda</w:t>
      </w:r>
      <w:r w:rsidR="00A77285" w:rsidRPr="00972FA5">
        <w:rPr>
          <w:rFonts w:ascii="Times New Roman" w:eastAsia="Times New Roman" w:hAnsi="Times New Roman" w:cs="Times New Roman"/>
          <w:sz w:val="24"/>
          <w:szCs w:val="24"/>
          <w:lang w:eastAsia="hr-HR"/>
        </w:rPr>
        <w:t xml:space="preserve"> prema ekonomskoj klasifikaciji na razini skupine</w:t>
      </w:r>
      <w:r w:rsidR="00972FA5" w:rsidRPr="00972FA5">
        <w:rPr>
          <w:rFonts w:ascii="Times New Roman" w:eastAsia="Times New Roman" w:hAnsi="Times New Roman" w:cs="Times New Roman"/>
          <w:sz w:val="24"/>
          <w:szCs w:val="24"/>
          <w:lang w:eastAsia="hr-HR"/>
        </w:rPr>
        <w:t xml:space="preserve"> te prikaz udjela prihoda u strukturi ukupnih prihoda kod novog Plana za 2024. godinu u odnosu na prvotni Plan</w:t>
      </w:r>
      <w:r w:rsidR="00CF4739" w:rsidRPr="00972FA5">
        <w:rPr>
          <w:rFonts w:ascii="Times New Roman" w:eastAsia="Times New Roman" w:hAnsi="Times New Roman" w:cs="Times New Roman"/>
          <w:sz w:val="24"/>
          <w:szCs w:val="24"/>
          <w:lang w:eastAsia="hr-HR"/>
        </w:rPr>
        <w:t xml:space="preserve"> </w:t>
      </w:r>
      <w:r w:rsidR="00FB3430" w:rsidRPr="00972FA5">
        <w:rPr>
          <w:rFonts w:ascii="Times New Roman" w:eastAsia="Times New Roman" w:hAnsi="Times New Roman" w:cs="Times New Roman"/>
          <w:sz w:val="24"/>
          <w:szCs w:val="24"/>
          <w:lang w:eastAsia="hr-HR"/>
        </w:rPr>
        <w:t>daje se u tabličnom prikazu</w:t>
      </w:r>
      <w:r w:rsidR="001C5B5C" w:rsidRPr="00972FA5">
        <w:rPr>
          <w:rFonts w:ascii="Times New Roman" w:eastAsia="Times New Roman" w:hAnsi="Times New Roman" w:cs="Times New Roman"/>
          <w:sz w:val="24"/>
          <w:szCs w:val="24"/>
          <w:lang w:eastAsia="hr-HR"/>
        </w:rPr>
        <w:t>:</w:t>
      </w:r>
    </w:p>
    <w:p w:rsidR="00733A5C" w:rsidRPr="0038341D" w:rsidRDefault="00604B8C" w:rsidP="00972FA5">
      <w:pPr>
        <w:spacing w:after="240"/>
        <w:jc w:val="center"/>
        <w:rPr>
          <w:rFonts w:ascii="Times New Roman" w:eastAsia="Times New Roman" w:hAnsi="Times New Roman" w:cs="Times New Roman"/>
          <w:color w:val="FF0000"/>
          <w:sz w:val="24"/>
          <w:szCs w:val="24"/>
          <w:lang w:eastAsia="hr-HR"/>
        </w:rPr>
      </w:pPr>
      <w:r w:rsidRPr="00604B8C">
        <w:rPr>
          <w:noProof/>
          <w:lang w:eastAsia="hr-HR"/>
        </w:rPr>
        <w:drawing>
          <wp:inline distT="0" distB="0" distL="0" distR="0" wp14:anchorId="021EEC4F" wp14:editId="775C4E90">
            <wp:extent cx="5670550" cy="2956060"/>
            <wp:effectExtent l="0" t="0" r="635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0550" cy="2956060"/>
                    </a:xfrm>
                    <a:prstGeom prst="rect">
                      <a:avLst/>
                    </a:prstGeom>
                    <a:noFill/>
                    <a:ln>
                      <a:noFill/>
                    </a:ln>
                  </pic:spPr>
                </pic:pic>
              </a:graphicData>
            </a:graphic>
          </wp:inline>
        </w:drawing>
      </w:r>
    </w:p>
    <w:p w:rsidR="00972FA5" w:rsidRPr="007A02EB" w:rsidRDefault="00FE530C" w:rsidP="007A02EB">
      <w:pPr>
        <w:spacing w:after="120"/>
        <w:ind w:firstLine="284"/>
        <w:jc w:val="both"/>
        <w:rPr>
          <w:rFonts w:ascii="Times New Roman" w:eastAsia="Times New Roman" w:hAnsi="Times New Roman" w:cs="Times New Roman"/>
          <w:sz w:val="24"/>
          <w:szCs w:val="24"/>
          <w:lang w:eastAsia="hr-HR"/>
        </w:rPr>
      </w:pPr>
      <w:r w:rsidRPr="007A02EB">
        <w:rPr>
          <w:rFonts w:ascii="Times New Roman" w:eastAsia="Times New Roman" w:hAnsi="Times New Roman" w:cs="Times New Roman"/>
          <w:sz w:val="24"/>
          <w:szCs w:val="24"/>
          <w:lang w:eastAsia="hr-HR"/>
        </w:rPr>
        <w:t>Pomoći iz inozemstva i od subjekata unutar općeg proračuna</w:t>
      </w:r>
      <w:r w:rsidR="00973245" w:rsidRPr="007A02EB">
        <w:rPr>
          <w:rFonts w:ascii="Times New Roman" w:eastAsia="Times New Roman" w:hAnsi="Times New Roman" w:cs="Times New Roman"/>
          <w:sz w:val="24"/>
          <w:szCs w:val="24"/>
          <w:lang w:eastAsia="hr-HR"/>
        </w:rPr>
        <w:t xml:space="preserve"> </w:t>
      </w:r>
      <w:r w:rsidR="00E63B48" w:rsidRPr="007A02EB">
        <w:rPr>
          <w:rFonts w:ascii="Times New Roman" w:eastAsia="Times New Roman" w:hAnsi="Times New Roman" w:cs="Times New Roman"/>
          <w:sz w:val="24"/>
          <w:szCs w:val="24"/>
          <w:lang w:eastAsia="hr-HR"/>
        </w:rPr>
        <w:t>planirana</w:t>
      </w:r>
      <w:r w:rsidR="00973245" w:rsidRPr="007A02EB">
        <w:rPr>
          <w:rFonts w:ascii="Times New Roman" w:eastAsia="Times New Roman" w:hAnsi="Times New Roman" w:cs="Times New Roman"/>
          <w:sz w:val="24"/>
          <w:szCs w:val="24"/>
          <w:lang w:eastAsia="hr-HR"/>
        </w:rPr>
        <w:t xml:space="preserve"> su u iznosu od 6.000</w:t>
      </w:r>
      <w:r w:rsidRPr="007A02EB">
        <w:rPr>
          <w:rFonts w:ascii="Times New Roman" w:eastAsia="Times New Roman" w:hAnsi="Times New Roman" w:cs="Times New Roman"/>
          <w:sz w:val="24"/>
          <w:szCs w:val="24"/>
          <w:lang w:eastAsia="hr-HR"/>
        </w:rPr>
        <w:t>,00 EUR</w:t>
      </w:r>
      <w:r w:rsidR="00EC6D79" w:rsidRPr="007A02EB">
        <w:rPr>
          <w:rFonts w:ascii="Times New Roman" w:eastAsia="Times New Roman" w:hAnsi="Times New Roman" w:cs="Times New Roman"/>
          <w:sz w:val="24"/>
          <w:szCs w:val="24"/>
          <w:lang w:eastAsia="hr-HR"/>
        </w:rPr>
        <w:t xml:space="preserve"> (izvor financiranja 52)</w:t>
      </w:r>
      <w:r w:rsidRPr="007A02EB">
        <w:rPr>
          <w:rFonts w:ascii="Times New Roman" w:eastAsia="Times New Roman" w:hAnsi="Times New Roman" w:cs="Times New Roman"/>
          <w:sz w:val="24"/>
          <w:szCs w:val="24"/>
          <w:lang w:eastAsia="hr-HR"/>
        </w:rPr>
        <w:t xml:space="preserve"> i </w:t>
      </w:r>
      <w:r w:rsidR="00972FA5" w:rsidRPr="007A02EB">
        <w:rPr>
          <w:rFonts w:ascii="Times New Roman" w:eastAsia="Times New Roman" w:hAnsi="Times New Roman" w:cs="Times New Roman"/>
          <w:sz w:val="24"/>
          <w:szCs w:val="24"/>
          <w:lang w:eastAsia="hr-HR"/>
        </w:rPr>
        <w:t>u strukturi ukupnih prihoda činili su</w:t>
      </w:r>
      <w:r w:rsidRPr="007A02EB">
        <w:rPr>
          <w:rFonts w:ascii="Times New Roman" w:eastAsia="Times New Roman" w:hAnsi="Times New Roman" w:cs="Times New Roman"/>
          <w:sz w:val="24"/>
          <w:szCs w:val="24"/>
          <w:lang w:eastAsia="hr-HR"/>
        </w:rPr>
        <w:t xml:space="preserve"> </w:t>
      </w:r>
      <w:r w:rsidR="00973245" w:rsidRPr="007A02EB">
        <w:rPr>
          <w:rFonts w:ascii="Times New Roman" w:eastAsia="Times New Roman" w:hAnsi="Times New Roman" w:cs="Times New Roman"/>
          <w:sz w:val="24"/>
          <w:szCs w:val="24"/>
          <w:lang w:eastAsia="hr-HR"/>
        </w:rPr>
        <w:t>0,18</w:t>
      </w:r>
      <w:r w:rsidRPr="007A02EB">
        <w:rPr>
          <w:rFonts w:ascii="Times New Roman" w:eastAsia="Times New Roman" w:hAnsi="Times New Roman" w:cs="Times New Roman"/>
          <w:sz w:val="24"/>
          <w:szCs w:val="24"/>
          <w:lang w:eastAsia="hr-HR"/>
        </w:rPr>
        <w:t>%.</w:t>
      </w:r>
      <w:r w:rsidR="007A02EB" w:rsidRPr="007A02EB">
        <w:rPr>
          <w:rFonts w:ascii="Times New Roman" w:eastAsia="Times New Roman" w:hAnsi="Times New Roman" w:cs="Times New Roman"/>
          <w:sz w:val="24"/>
          <w:szCs w:val="24"/>
          <w:lang w:eastAsia="hr-HR"/>
        </w:rPr>
        <w:t xml:space="preserve"> Navedeni prihodi odnose se na pomoći koje Dom godišnje dobije od Grada Varaždina za sufinanciranje rada Dnevnog centra u iznosu od 4.000,00 EUR te pomoći dobivene za sufinanciranje dijela troškova energenata.</w:t>
      </w:r>
      <w:r w:rsidRPr="007A02EB">
        <w:rPr>
          <w:rFonts w:ascii="Times New Roman" w:eastAsia="Times New Roman" w:hAnsi="Times New Roman" w:cs="Times New Roman"/>
          <w:sz w:val="24"/>
          <w:szCs w:val="24"/>
          <w:lang w:eastAsia="hr-HR"/>
        </w:rPr>
        <w:t xml:space="preserve"> </w:t>
      </w:r>
      <w:r w:rsidR="00972FA5" w:rsidRPr="007A02EB">
        <w:rPr>
          <w:rFonts w:ascii="Times New Roman" w:eastAsia="Times New Roman" w:hAnsi="Times New Roman" w:cs="Times New Roman"/>
          <w:sz w:val="24"/>
          <w:szCs w:val="24"/>
          <w:lang w:eastAsia="hr-HR"/>
        </w:rPr>
        <w:t>I. Izmjenama i dopunama Financijskog plana za 2024. godinu oni su povećani za 4.500,00 EUR i sada u str</w:t>
      </w:r>
      <w:r w:rsidR="003D6C3C">
        <w:rPr>
          <w:rFonts w:ascii="Times New Roman" w:eastAsia="Times New Roman" w:hAnsi="Times New Roman" w:cs="Times New Roman"/>
          <w:sz w:val="24"/>
          <w:szCs w:val="24"/>
          <w:lang w:eastAsia="hr-HR"/>
        </w:rPr>
        <w:t>ukturi ukupnih prihoda čine 0,25</w:t>
      </w:r>
      <w:r w:rsidR="00972FA5" w:rsidRPr="007A02EB">
        <w:rPr>
          <w:rFonts w:ascii="Times New Roman" w:eastAsia="Times New Roman" w:hAnsi="Times New Roman" w:cs="Times New Roman"/>
          <w:sz w:val="24"/>
          <w:szCs w:val="24"/>
          <w:lang w:eastAsia="hr-HR"/>
        </w:rPr>
        <w:t>%.</w:t>
      </w:r>
      <w:r w:rsidR="007A02EB" w:rsidRPr="007A02EB">
        <w:rPr>
          <w:rFonts w:ascii="Times New Roman" w:eastAsia="Times New Roman" w:hAnsi="Times New Roman" w:cs="Times New Roman"/>
          <w:sz w:val="24"/>
          <w:szCs w:val="24"/>
          <w:lang w:eastAsia="hr-HR"/>
        </w:rPr>
        <w:t xml:space="preserve"> Navedeni prihodi povećani su zbog objave informacije u travnju ove godine kako se navedena mjera sufinanciranja dijela troškova energenata nastavlja i dalje.</w:t>
      </w:r>
    </w:p>
    <w:p w:rsidR="00C50B2D" w:rsidRPr="00EF2667" w:rsidRDefault="00C50B2D" w:rsidP="00E34B80">
      <w:pPr>
        <w:spacing w:after="120"/>
        <w:ind w:firstLine="284"/>
        <w:jc w:val="both"/>
        <w:rPr>
          <w:rFonts w:ascii="Times New Roman" w:eastAsia="Times New Roman" w:hAnsi="Times New Roman" w:cs="Times New Roman"/>
          <w:sz w:val="24"/>
          <w:szCs w:val="24"/>
          <w:lang w:eastAsia="hr-HR"/>
        </w:rPr>
      </w:pPr>
      <w:r w:rsidRPr="00EF2667">
        <w:rPr>
          <w:rFonts w:ascii="Times New Roman" w:eastAsia="Times New Roman" w:hAnsi="Times New Roman" w:cs="Times New Roman"/>
          <w:sz w:val="24"/>
          <w:szCs w:val="24"/>
          <w:lang w:eastAsia="hr-HR"/>
        </w:rPr>
        <w:t>Prihodi od imovine</w:t>
      </w:r>
      <w:r w:rsidR="00633F07" w:rsidRPr="00EF2667">
        <w:rPr>
          <w:rFonts w:ascii="Times New Roman" w:eastAsia="Times New Roman" w:hAnsi="Times New Roman" w:cs="Times New Roman"/>
          <w:sz w:val="24"/>
          <w:szCs w:val="24"/>
          <w:lang w:eastAsia="hr-HR"/>
        </w:rPr>
        <w:t xml:space="preserve"> planirani su u iznosu od 500</w:t>
      </w:r>
      <w:r w:rsidR="006C68AD" w:rsidRPr="00EF2667">
        <w:rPr>
          <w:rFonts w:ascii="Times New Roman" w:eastAsia="Times New Roman" w:hAnsi="Times New Roman" w:cs="Times New Roman"/>
          <w:sz w:val="24"/>
          <w:szCs w:val="24"/>
          <w:lang w:eastAsia="hr-HR"/>
        </w:rPr>
        <w:t>,00 EUR</w:t>
      </w:r>
      <w:r w:rsidR="00EC6D79" w:rsidRPr="00EF2667">
        <w:rPr>
          <w:rFonts w:ascii="Times New Roman" w:eastAsia="Times New Roman" w:hAnsi="Times New Roman" w:cs="Times New Roman"/>
          <w:sz w:val="24"/>
          <w:szCs w:val="24"/>
          <w:lang w:eastAsia="hr-HR"/>
        </w:rPr>
        <w:t xml:space="preserve"> (izvor financiranja 43)</w:t>
      </w:r>
      <w:r w:rsidR="00EF2667" w:rsidRPr="00EF2667">
        <w:rPr>
          <w:rFonts w:ascii="Times New Roman" w:eastAsia="Times New Roman" w:hAnsi="Times New Roman" w:cs="Times New Roman"/>
          <w:sz w:val="24"/>
          <w:szCs w:val="24"/>
          <w:lang w:eastAsia="hr-HR"/>
        </w:rPr>
        <w:t xml:space="preserve">, </w:t>
      </w:r>
      <w:r w:rsidR="006C68AD" w:rsidRPr="00EF2667">
        <w:rPr>
          <w:rFonts w:ascii="Times New Roman" w:eastAsia="Times New Roman" w:hAnsi="Times New Roman" w:cs="Times New Roman"/>
          <w:sz w:val="24"/>
          <w:szCs w:val="24"/>
          <w:lang w:eastAsia="hr-HR"/>
        </w:rPr>
        <w:t>odnose se na prihode od kamata na depozite po viđenju</w:t>
      </w:r>
      <w:r w:rsidR="00EF2667" w:rsidRPr="00EF2667">
        <w:rPr>
          <w:rFonts w:ascii="Times New Roman" w:eastAsia="Times New Roman" w:hAnsi="Times New Roman" w:cs="Times New Roman"/>
          <w:sz w:val="24"/>
          <w:szCs w:val="24"/>
          <w:lang w:eastAsia="hr-HR"/>
        </w:rPr>
        <w:t xml:space="preserve"> i kod navedenih prihoda nije došlo do promjene</w:t>
      </w:r>
      <w:r w:rsidR="006C68AD" w:rsidRPr="00EF2667">
        <w:rPr>
          <w:rFonts w:ascii="Times New Roman" w:eastAsia="Times New Roman" w:hAnsi="Times New Roman" w:cs="Times New Roman"/>
          <w:sz w:val="24"/>
          <w:szCs w:val="24"/>
          <w:lang w:eastAsia="hr-HR"/>
        </w:rPr>
        <w:t>.</w:t>
      </w:r>
    </w:p>
    <w:p w:rsidR="0050773B" w:rsidRDefault="00F60555" w:rsidP="00160BFA">
      <w:pPr>
        <w:spacing w:after="120"/>
        <w:ind w:firstLine="284"/>
        <w:jc w:val="both"/>
        <w:rPr>
          <w:rFonts w:ascii="Times New Roman" w:eastAsia="Times New Roman" w:hAnsi="Times New Roman" w:cs="Times New Roman"/>
          <w:sz w:val="24"/>
          <w:szCs w:val="24"/>
          <w:lang w:eastAsia="hr-HR"/>
        </w:rPr>
      </w:pPr>
      <w:r w:rsidRPr="0050773B">
        <w:rPr>
          <w:rFonts w:ascii="Times New Roman" w:eastAsia="Times New Roman" w:hAnsi="Times New Roman" w:cs="Times New Roman"/>
          <w:sz w:val="24"/>
          <w:szCs w:val="24"/>
          <w:lang w:eastAsia="hr-HR"/>
        </w:rPr>
        <w:t>Prihodi od upravnih i administrativnih pristojbi, pristojbi po posebnim propisima i naknada</w:t>
      </w:r>
      <w:r w:rsidR="00EF2667" w:rsidRPr="0050773B">
        <w:rPr>
          <w:rFonts w:ascii="Times New Roman" w:eastAsia="Times New Roman" w:hAnsi="Times New Roman" w:cs="Times New Roman"/>
          <w:sz w:val="24"/>
          <w:szCs w:val="24"/>
          <w:lang w:eastAsia="hr-HR"/>
        </w:rPr>
        <w:t xml:space="preserve"> bili su</w:t>
      </w:r>
      <w:r w:rsidR="00A35967" w:rsidRPr="0050773B">
        <w:rPr>
          <w:rFonts w:ascii="Times New Roman" w:eastAsia="Times New Roman" w:hAnsi="Times New Roman" w:cs="Times New Roman"/>
          <w:sz w:val="24"/>
          <w:szCs w:val="24"/>
          <w:lang w:eastAsia="hr-HR"/>
        </w:rPr>
        <w:t xml:space="preserve"> </w:t>
      </w:r>
      <w:r w:rsidR="00BB6DE8" w:rsidRPr="0050773B">
        <w:rPr>
          <w:rFonts w:ascii="Times New Roman" w:eastAsia="Times New Roman" w:hAnsi="Times New Roman" w:cs="Times New Roman"/>
          <w:sz w:val="24"/>
          <w:szCs w:val="24"/>
          <w:lang w:eastAsia="hr-HR"/>
        </w:rPr>
        <w:t>planirani</w:t>
      </w:r>
      <w:r w:rsidR="00EF2667" w:rsidRPr="0050773B">
        <w:rPr>
          <w:rFonts w:ascii="Times New Roman" w:eastAsia="Times New Roman" w:hAnsi="Times New Roman" w:cs="Times New Roman"/>
          <w:sz w:val="24"/>
          <w:szCs w:val="24"/>
          <w:lang w:eastAsia="hr-HR"/>
        </w:rPr>
        <w:t xml:space="preserve"> </w:t>
      </w:r>
      <w:r w:rsidR="00A35967" w:rsidRPr="0050773B">
        <w:rPr>
          <w:rFonts w:ascii="Times New Roman" w:eastAsia="Times New Roman" w:hAnsi="Times New Roman" w:cs="Times New Roman"/>
          <w:sz w:val="24"/>
          <w:szCs w:val="24"/>
          <w:lang w:eastAsia="hr-HR"/>
        </w:rPr>
        <w:t>u iznosu od 2.214.000</w:t>
      </w:r>
      <w:r w:rsidRPr="0050773B">
        <w:rPr>
          <w:rFonts w:ascii="Times New Roman" w:eastAsia="Times New Roman" w:hAnsi="Times New Roman" w:cs="Times New Roman"/>
          <w:sz w:val="24"/>
          <w:szCs w:val="24"/>
          <w:lang w:eastAsia="hr-HR"/>
        </w:rPr>
        <w:t>,00 EUR</w:t>
      </w:r>
      <w:r w:rsidR="00EC6D79" w:rsidRPr="0050773B">
        <w:rPr>
          <w:rFonts w:ascii="Times New Roman" w:eastAsia="Times New Roman" w:hAnsi="Times New Roman" w:cs="Times New Roman"/>
          <w:sz w:val="24"/>
          <w:szCs w:val="24"/>
          <w:lang w:eastAsia="hr-HR"/>
        </w:rPr>
        <w:t xml:space="preserve"> (izvor financiranja 43)</w:t>
      </w:r>
      <w:r w:rsidR="00EF2667" w:rsidRPr="0050773B">
        <w:rPr>
          <w:rFonts w:ascii="Times New Roman" w:eastAsia="Times New Roman" w:hAnsi="Times New Roman" w:cs="Times New Roman"/>
          <w:sz w:val="24"/>
          <w:szCs w:val="24"/>
          <w:lang w:eastAsia="hr-HR"/>
        </w:rPr>
        <w:t xml:space="preserve">, a </w:t>
      </w:r>
      <w:r w:rsidRPr="0050773B">
        <w:rPr>
          <w:rFonts w:ascii="Times New Roman" w:eastAsia="Times New Roman" w:hAnsi="Times New Roman" w:cs="Times New Roman"/>
          <w:sz w:val="24"/>
          <w:szCs w:val="24"/>
          <w:lang w:eastAsia="hr-HR"/>
        </w:rPr>
        <w:t>odnose se na prihode od opskrbnina</w:t>
      </w:r>
      <w:r w:rsidR="0050773B" w:rsidRPr="0050773B">
        <w:rPr>
          <w:rFonts w:ascii="Times New Roman" w:eastAsia="Times New Roman" w:hAnsi="Times New Roman" w:cs="Times New Roman"/>
          <w:sz w:val="24"/>
          <w:szCs w:val="24"/>
          <w:lang w:eastAsia="hr-HR"/>
        </w:rPr>
        <w:t xml:space="preserve"> i u strukturi ukupnih prihoda čine najveći i najznačajniji udio</w:t>
      </w:r>
      <w:r w:rsidR="00BB6DE8" w:rsidRPr="0050773B">
        <w:rPr>
          <w:rFonts w:ascii="Times New Roman" w:eastAsia="Times New Roman" w:hAnsi="Times New Roman" w:cs="Times New Roman"/>
          <w:sz w:val="24"/>
          <w:szCs w:val="24"/>
          <w:lang w:eastAsia="hr-HR"/>
        </w:rPr>
        <w:t>.</w:t>
      </w:r>
      <w:r w:rsidR="0050773B">
        <w:rPr>
          <w:rFonts w:ascii="Times New Roman" w:eastAsia="Times New Roman" w:hAnsi="Times New Roman" w:cs="Times New Roman"/>
          <w:sz w:val="24"/>
          <w:szCs w:val="24"/>
          <w:lang w:eastAsia="hr-HR"/>
        </w:rPr>
        <w:t xml:space="preserve"> I. Izmjenama i dopunama Financijskog plana za 2024. godinu prihodi od opskrbnina povećani su za 325</w:t>
      </w:r>
      <w:r w:rsidR="003D6C3C">
        <w:rPr>
          <w:rFonts w:ascii="Times New Roman" w:eastAsia="Times New Roman" w:hAnsi="Times New Roman" w:cs="Times New Roman"/>
          <w:sz w:val="24"/>
          <w:szCs w:val="24"/>
          <w:lang w:eastAsia="hr-HR"/>
        </w:rPr>
        <w:t xml:space="preserve">.000,00 EUR temeljem </w:t>
      </w:r>
      <w:r w:rsidR="0050773B">
        <w:rPr>
          <w:rFonts w:ascii="Times New Roman" w:eastAsia="Times New Roman" w:hAnsi="Times New Roman" w:cs="Times New Roman"/>
          <w:sz w:val="24"/>
          <w:szCs w:val="24"/>
          <w:lang w:eastAsia="hr-HR"/>
        </w:rPr>
        <w:t>povećanja cijena smještaja u Domu</w:t>
      </w:r>
      <w:r w:rsidR="003D6C3C">
        <w:rPr>
          <w:rFonts w:ascii="Times New Roman" w:eastAsia="Times New Roman" w:hAnsi="Times New Roman" w:cs="Times New Roman"/>
          <w:sz w:val="24"/>
          <w:szCs w:val="24"/>
          <w:lang w:eastAsia="hr-HR"/>
        </w:rPr>
        <w:t xml:space="preserve"> od 01. srpnja ove godine</w:t>
      </w:r>
      <w:r w:rsidR="0050773B">
        <w:rPr>
          <w:rFonts w:ascii="Times New Roman" w:eastAsia="Times New Roman" w:hAnsi="Times New Roman" w:cs="Times New Roman"/>
          <w:sz w:val="24"/>
          <w:szCs w:val="24"/>
          <w:lang w:eastAsia="hr-HR"/>
        </w:rPr>
        <w:t xml:space="preserve"> zbog sve težeg podmirivanja svih obveza</w:t>
      </w:r>
      <w:r w:rsidR="00160BFA">
        <w:rPr>
          <w:rFonts w:ascii="Times New Roman" w:eastAsia="Times New Roman" w:hAnsi="Times New Roman" w:cs="Times New Roman"/>
          <w:sz w:val="24"/>
          <w:szCs w:val="24"/>
          <w:lang w:eastAsia="hr-HR"/>
        </w:rPr>
        <w:t>.</w:t>
      </w:r>
      <w:r w:rsidR="00BA73F3">
        <w:rPr>
          <w:rFonts w:ascii="Times New Roman" w:eastAsia="Times New Roman" w:hAnsi="Times New Roman" w:cs="Times New Roman"/>
          <w:sz w:val="24"/>
          <w:szCs w:val="24"/>
          <w:lang w:eastAsia="hr-HR"/>
        </w:rPr>
        <w:t xml:space="preserve"> Isto tako, dodani su i prihodi od nadoknade štete s osnova osiguranja u iznosu od 700,00 EUR.</w:t>
      </w:r>
    </w:p>
    <w:p w:rsidR="00691E32" w:rsidRPr="00160BFA" w:rsidRDefault="00691E32" w:rsidP="00E34B80">
      <w:pPr>
        <w:spacing w:after="120"/>
        <w:ind w:firstLine="284"/>
        <w:jc w:val="both"/>
        <w:rPr>
          <w:rFonts w:ascii="Times New Roman" w:eastAsia="Times New Roman" w:hAnsi="Times New Roman" w:cs="Times New Roman"/>
          <w:sz w:val="24"/>
          <w:szCs w:val="24"/>
          <w:lang w:eastAsia="hr-HR"/>
        </w:rPr>
      </w:pPr>
      <w:r w:rsidRPr="00160BFA">
        <w:rPr>
          <w:rFonts w:ascii="Times New Roman" w:eastAsia="Times New Roman" w:hAnsi="Times New Roman" w:cs="Times New Roman"/>
          <w:sz w:val="24"/>
          <w:szCs w:val="24"/>
          <w:lang w:eastAsia="hr-HR"/>
        </w:rPr>
        <w:t>Prihodi od prodaje proizvoda i robe te pruženih usluga</w:t>
      </w:r>
      <w:r w:rsidR="00E72EA8" w:rsidRPr="00160BFA">
        <w:rPr>
          <w:rFonts w:ascii="Times New Roman" w:eastAsia="Times New Roman" w:hAnsi="Times New Roman" w:cs="Times New Roman"/>
          <w:sz w:val="24"/>
          <w:szCs w:val="24"/>
          <w:lang w:eastAsia="hr-HR"/>
        </w:rPr>
        <w:t xml:space="preserve"> </w:t>
      </w:r>
      <w:r w:rsidR="0038341D" w:rsidRPr="00160BFA">
        <w:rPr>
          <w:rFonts w:ascii="Times New Roman" w:eastAsia="Times New Roman" w:hAnsi="Times New Roman" w:cs="Times New Roman"/>
          <w:sz w:val="24"/>
          <w:szCs w:val="24"/>
          <w:lang w:eastAsia="hr-HR"/>
        </w:rPr>
        <w:t>planirani</w:t>
      </w:r>
      <w:r w:rsidR="00E72EA8" w:rsidRPr="00160BFA">
        <w:rPr>
          <w:rFonts w:ascii="Times New Roman" w:eastAsia="Times New Roman" w:hAnsi="Times New Roman" w:cs="Times New Roman"/>
          <w:sz w:val="24"/>
          <w:szCs w:val="24"/>
          <w:lang w:eastAsia="hr-HR"/>
        </w:rPr>
        <w:t xml:space="preserve"> su</w:t>
      </w:r>
      <w:r w:rsidR="0038341D" w:rsidRPr="00160BFA">
        <w:rPr>
          <w:rFonts w:ascii="Times New Roman" w:eastAsia="Times New Roman" w:hAnsi="Times New Roman" w:cs="Times New Roman"/>
          <w:sz w:val="24"/>
          <w:szCs w:val="24"/>
          <w:lang w:eastAsia="hr-HR"/>
        </w:rPr>
        <w:t xml:space="preserve"> </w:t>
      </w:r>
      <w:r w:rsidR="00E72EA8" w:rsidRPr="00160BFA">
        <w:rPr>
          <w:rFonts w:ascii="Times New Roman" w:eastAsia="Times New Roman" w:hAnsi="Times New Roman" w:cs="Times New Roman"/>
          <w:sz w:val="24"/>
          <w:szCs w:val="24"/>
          <w:lang w:eastAsia="hr-HR"/>
        </w:rPr>
        <w:t>u iznosu od 36.000</w:t>
      </w:r>
      <w:r w:rsidRPr="00160BFA">
        <w:rPr>
          <w:rFonts w:ascii="Times New Roman" w:eastAsia="Times New Roman" w:hAnsi="Times New Roman" w:cs="Times New Roman"/>
          <w:sz w:val="24"/>
          <w:szCs w:val="24"/>
          <w:lang w:eastAsia="hr-HR"/>
        </w:rPr>
        <w:t>,00 EUR</w:t>
      </w:r>
      <w:r w:rsidR="00EC6D79" w:rsidRPr="00160BFA">
        <w:rPr>
          <w:rFonts w:ascii="Times New Roman" w:eastAsia="Times New Roman" w:hAnsi="Times New Roman" w:cs="Times New Roman"/>
          <w:sz w:val="24"/>
          <w:szCs w:val="24"/>
          <w:lang w:eastAsia="hr-HR"/>
        </w:rPr>
        <w:t xml:space="preserve"> (izvor financiranja 31)</w:t>
      </w:r>
      <w:r w:rsidR="00160BFA" w:rsidRPr="00160BFA">
        <w:rPr>
          <w:rFonts w:ascii="Times New Roman" w:eastAsia="Times New Roman" w:hAnsi="Times New Roman" w:cs="Times New Roman"/>
          <w:sz w:val="24"/>
          <w:szCs w:val="24"/>
          <w:lang w:eastAsia="hr-HR"/>
        </w:rPr>
        <w:t xml:space="preserve">, </w:t>
      </w:r>
      <w:r w:rsidR="00E72EA8" w:rsidRPr="00160BFA">
        <w:rPr>
          <w:rFonts w:ascii="Times New Roman" w:eastAsia="Times New Roman" w:hAnsi="Times New Roman" w:cs="Times New Roman"/>
          <w:sz w:val="24"/>
          <w:szCs w:val="24"/>
          <w:lang w:eastAsia="hr-HR"/>
        </w:rPr>
        <w:t xml:space="preserve">odnose </w:t>
      </w:r>
      <w:r w:rsidR="009A3260" w:rsidRPr="00160BFA">
        <w:rPr>
          <w:rFonts w:ascii="Times New Roman" w:eastAsia="Times New Roman" w:hAnsi="Times New Roman" w:cs="Times New Roman"/>
          <w:sz w:val="24"/>
          <w:szCs w:val="24"/>
          <w:lang w:eastAsia="hr-HR"/>
        </w:rPr>
        <w:t>se</w:t>
      </w:r>
      <w:r w:rsidR="00E72EA8" w:rsidRPr="00160BFA">
        <w:rPr>
          <w:rFonts w:ascii="Times New Roman" w:eastAsia="Times New Roman" w:hAnsi="Times New Roman" w:cs="Times New Roman"/>
          <w:sz w:val="24"/>
          <w:szCs w:val="24"/>
          <w:lang w:eastAsia="hr-HR"/>
        </w:rPr>
        <w:t xml:space="preserve"> na </w:t>
      </w:r>
      <w:r w:rsidR="009A3260" w:rsidRPr="00160BFA">
        <w:rPr>
          <w:rFonts w:ascii="Times New Roman" w:eastAsia="Times New Roman" w:hAnsi="Times New Roman" w:cs="Times New Roman"/>
          <w:sz w:val="24"/>
          <w:szCs w:val="24"/>
          <w:lang w:eastAsia="hr-HR"/>
        </w:rPr>
        <w:t>prihode po osnovi zakupa poslovnih prostora</w:t>
      </w:r>
      <w:r w:rsidR="00160BFA" w:rsidRPr="00160BFA">
        <w:rPr>
          <w:rFonts w:ascii="Times New Roman" w:eastAsia="Times New Roman" w:hAnsi="Times New Roman" w:cs="Times New Roman"/>
          <w:sz w:val="24"/>
          <w:szCs w:val="24"/>
          <w:lang w:eastAsia="hr-HR"/>
        </w:rPr>
        <w:t xml:space="preserve"> i kod navedenih prihoda nije došlo do promjene. U toj skupini nalaze se i prihodi od donacija</w:t>
      </w:r>
      <w:r w:rsidR="00BA73F3">
        <w:rPr>
          <w:rFonts w:ascii="Times New Roman" w:eastAsia="Times New Roman" w:hAnsi="Times New Roman" w:cs="Times New Roman"/>
          <w:sz w:val="24"/>
          <w:szCs w:val="24"/>
          <w:lang w:eastAsia="hr-HR"/>
        </w:rPr>
        <w:t xml:space="preserve"> koji su uvršteni u I. Izmjene i dopune Financijskog plana u iznosu od 27.277,00 EUR</w:t>
      </w:r>
      <w:r w:rsidR="00800896">
        <w:rPr>
          <w:rFonts w:ascii="Times New Roman" w:eastAsia="Times New Roman" w:hAnsi="Times New Roman" w:cs="Times New Roman"/>
          <w:sz w:val="24"/>
          <w:szCs w:val="24"/>
          <w:lang w:eastAsia="hr-HR"/>
        </w:rPr>
        <w:t xml:space="preserve">. </w:t>
      </w:r>
      <w:r w:rsidR="00800896">
        <w:rPr>
          <w:rFonts w:ascii="Times New Roman" w:eastAsia="Times New Roman" w:hAnsi="Times New Roman" w:cs="Times New Roman"/>
          <w:sz w:val="24"/>
          <w:szCs w:val="24"/>
          <w:lang w:eastAsia="hr-HR"/>
        </w:rPr>
        <w:lastRenderedPageBreak/>
        <w:t xml:space="preserve">Odnose se na tekuće i kapitalne donacije od fizičkih osoba i trgovačkih društava (npr. namještaj korisnika, rukavice i ostale higijenske potrepštine, uređenje dodatnog parkirališta), te na inozemnu donaciju od klinike iz Garmisch-Partenkirchena (sitni inventar te </w:t>
      </w:r>
      <w:r w:rsidR="00597A3E">
        <w:rPr>
          <w:rFonts w:ascii="Times New Roman" w:eastAsia="Times New Roman" w:hAnsi="Times New Roman" w:cs="Times New Roman"/>
          <w:sz w:val="24"/>
          <w:szCs w:val="24"/>
          <w:lang w:eastAsia="hr-HR"/>
        </w:rPr>
        <w:t>službena, radna i zaštitna odjeća).</w:t>
      </w:r>
    </w:p>
    <w:p w:rsidR="00691E32" w:rsidRPr="00354462" w:rsidRDefault="00691E32" w:rsidP="00354462">
      <w:pPr>
        <w:spacing w:after="120"/>
        <w:ind w:firstLine="284"/>
        <w:jc w:val="both"/>
        <w:rPr>
          <w:rFonts w:ascii="Times New Roman" w:eastAsia="Times New Roman" w:hAnsi="Times New Roman" w:cs="Times New Roman"/>
          <w:bCs/>
          <w:sz w:val="24"/>
          <w:szCs w:val="24"/>
          <w:lang w:eastAsia="hr-HR"/>
        </w:rPr>
      </w:pPr>
      <w:r w:rsidRPr="00C64769">
        <w:rPr>
          <w:rFonts w:ascii="Times New Roman" w:eastAsia="Times New Roman" w:hAnsi="Times New Roman" w:cs="Times New Roman"/>
          <w:sz w:val="24"/>
          <w:szCs w:val="24"/>
          <w:lang w:eastAsia="hr-HR"/>
        </w:rPr>
        <w:t>Prihodi iz nadležnog proračuna</w:t>
      </w:r>
      <w:r w:rsidR="00C64769" w:rsidRPr="00C64769">
        <w:rPr>
          <w:rFonts w:ascii="Times New Roman" w:eastAsia="Times New Roman" w:hAnsi="Times New Roman" w:cs="Times New Roman"/>
          <w:sz w:val="24"/>
          <w:szCs w:val="24"/>
          <w:lang w:eastAsia="hr-HR"/>
        </w:rPr>
        <w:t xml:space="preserve"> bili su</w:t>
      </w:r>
      <w:r w:rsidR="00326163" w:rsidRPr="00C64769">
        <w:rPr>
          <w:rFonts w:ascii="Times New Roman" w:eastAsia="Times New Roman" w:hAnsi="Times New Roman" w:cs="Times New Roman"/>
          <w:sz w:val="24"/>
          <w:szCs w:val="24"/>
          <w:lang w:eastAsia="hr-HR"/>
        </w:rPr>
        <w:t xml:space="preserve"> </w:t>
      </w:r>
      <w:r w:rsidR="00782886" w:rsidRPr="00C64769">
        <w:rPr>
          <w:rFonts w:ascii="Times New Roman" w:eastAsia="Times New Roman" w:hAnsi="Times New Roman" w:cs="Times New Roman"/>
          <w:sz w:val="24"/>
          <w:szCs w:val="24"/>
          <w:lang w:eastAsia="hr-HR"/>
        </w:rPr>
        <w:t>planirani</w:t>
      </w:r>
      <w:r w:rsidR="00C64769" w:rsidRPr="00C64769">
        <w:rPr>
          <w:rFonts w:ascii="Times New Roman" w:eastAsia="Times New Roman" w:hAnsi="Times New Roman" w:cs="Times New Roman"/>
          <w:sz w:val="24"/>
          <w:szCs w:val="24"/>
          <w:lang w:eastAsia="hr-HR"/>
        </w:rPr>
        <w:t xml:space="preserve"> </w:t>
      </w:r>
      <w:r w:rsidRPr="00C64769">
        <w:rPr>
          <w:rFonts w:ascii="Times New Roman" w:eastAsia="Times New Roman" w:hAnsi="Times New Roman" w:cs="Times New Roman"/>
          <w:sz w:val="24"/>
          <w:szCs w:val="24"/>
          <w:lang w:eastAsia="hr-HR"/>
        </w:rPr>
        <w:t xml:space="preserve">u iznosu od </w:t>
      </w:r>
      <w:r w:rsidR="00326163" w:rsidRPr="00C64769">
        <w:rPr>
          <w:rFonts w:ascii="Times New Roman" w:eastAsia="Times New Roman" w:hAnsi="Times New Roman" w:cs="Times New Roman"/>
          <w:sz w:val="24"/>
          <w:szCs w:val="24"/>
          <w:lang w:eastAsia="hr-HR"/>
        </w:rPr>
        <w:t>1.130.927</w:t>
      </w:r>
      <w:r w:rsidRPr="00C64769">
        <w:rPr>
          <w:rFonts w:ascii="Times New Roman" w:eastAsia="Times New Roman" w:hAnsi="Times New Roman" w:cs="Times New Roman"/>
          <w:sz w:val="24"/>
          <w:szCs w:val="24"/>
          <w:lang w:eastAsia="hr-HR"/>
        </w:rPr>
        <w:t>,00 EUR,</w:t>
      </w:r>
      <w:r w:rsidR="00C64769" w:rsidRPr="00C64769">
        <w:rPr>
          <w:rFonts w:ascii="Times New Roman" w:eastAsia="Times New Roman" w:hAnsi="Times New Roman" w:cs="Times New Roman"/>
          <w:sz w:val="24"/>
          <w:szCs w:val="24"/>
          <w:lang w:eastAsia="hr-HR"/>
        </w:rPr>
        <w:t xml:space="preserve"> a odnosili su</w:t>
      </w:r>
      <w:r w:rsidRPr="00C64769">
        <w:rPr>
          <w:rFonts w:ascii="Times New Roman" w:eastAsia="Times New Roman" w:hAnsi="Times New Roman" w:cs="Times New Roman"/>
          <w:sz w:val="24"/>
          <w:szCs w:val="24"/>
          <w:lang w:eastAsia="hr-HR"/>
        </w:rPr>
        <w:t xml:space="preserve"> se na prihode iz župan</w:t>
      </w:r>
      <w:r w:rsidR="00326163" w:rsidRPr="00C64769">
        <w:rPr>
          <w:rFonts w:ascii="Times New Roman" w:eastAsia="Times New Roman" w:hAnsi="Times New Roman" w:cs="Times New Roman"/>
          <w:sz w:val="24"/>
          <w:szCs w:val="24"/>
          <w:lang w:eastAsia="hr-HR"/>
        </w:rPr>
        <w:t>ijskog proračuna u iznosu od 527.95</w:t>
      </w:r>
      <w:r w:rsidRPr="00C64769">
        <w:rPr>
          <w:rFonts w:ascii="Times New Roman" w:eastAsia="Times New Roman" w:hAnsi="Times New Roman" w:cs="Times New Roman"/>
          <w:sz w:val="24"/>
          <w:szCs w:val="24"/>
          <w:lang w:eastAsia="hr-HR"/>
        </w:rPr>
        <w:t>6,00 EUR</w:t>
      </w:r>
      <w:r w:rsidR="00EC6D79" w:rsidRPr="00C64769">
        <w:rPr>
          <w:rFonts w:ascii="Times New Roman" w:eastAsia="Times New Roman" w:hAnsi="Times New Roman" w:cs="Times New Roman"/>
          <w:sz w:val="24"/>
          <w:szCs w:val="24"/>
          <w:lang w:eastAsia="hr-HR"/>
        </w:rPr>
        <w:t xml:space="preserve"> (izvor financiranja 11)</w:t>
      </w:r>
      <w:r w:rsidRPr="00C64769">
        <w:rPr>
          <w:rFonts w:ascii="Times New Roman" w:eastAsia="Times New Roman" w:hAnsi="Times New Roman" w:cs="Times New Roman"/>
          <w:sz w:val="24"/>
          <w:szCs w:val="24"/>
          <w:lang w:eastAsia="hr-HR"/>
        </w:rPr>
        <w:t xml:space="preserve"> i decentral</w:t>
      </w:r>
      <w:r w:rsidR="00326163" w:rsidRPr="00C64769">
        <w:rPr>
          <w:rFonts w:ascii="Times New Roman" w:eastAsia="Times New Roman" w:hAnsi="Times New Roman" w:cs="Times New Roman"/>
          <w:sz w:val="24"/>
          <w:szCs w:val="24"/>
          <w:lang w:eastAsia="hr-HR"/>
        </w:rPr>
        <w:t>izirana sredstva u iznosu od 602.971</w:t>
      </w:r>
      <w:r w:rsidRPr="00C64769">
        <w:rPr>
          <w:rFonts w:ascii="Times New Roman" w:eastAsia="Times New Roman" w:hAnsi="Times New Roman" w:cs="Times New Roman"/>
          <w:sz w:val="24"/>
          <w:szCs w:val="24"/>
          <w:lang w:eastAsia="hr-HR"/>
        </w:rPr>
        <w:t>,00 EUR</w:t>
      </w:r>
      <w:r w:rsidR="00EC6D79" w:rsidRPr="00C64769">
        <w:rPr>
          <w:rFonts w:ascii="Times New Roman" w:eastAsia="Times New Roman" w:hAnsi="Times New Roman" w:cs="Times New Roman"/>
          <w:sz w:val="24"/>
          <w:szCs w:val="24"/>
          <w:lang w:eastAsia="hr-HR"/>
        </w:rPr>
        <w:t xml:space="preserve"> (izvor financiranja 44)</w:t>
      </w:r>
      <w:r w:rsidRPr="00C64769">
        <w:rPr>
          <w:rFonts w:ascii="Times New Roman" w:eastAsia="Times New Roman" w:hAnsi="Times New Roman" w:cs="Times New Roman"/>
          <w:sz w:val="24"/>
          <w:szCs w:val="24"/>
          <w:lang w:eastAsia="hr-HR"/>
        </w:rPr>
        <w:t>.</w:t>
      </w:r>
      <w:r w:rsidR="003D6C3C">
        <w:rPr>
          <w:rFonts w:ascii="Times New Roman" w:eastAsia="Times New Roman" w:hAnsi="Times New Roman" w:cs="Times New Roman"/>
          <w:sz w:val="24"/>
          <w:szCs w:val="24"/>
          <w:lang w:eastAsia="hr-HR"/>
        </w:rPr>
        <w:t xml:space="preserve"> Izvor financiranja 11</w:t>
      </w:r>
      <w:r w:rsidR="003D6C3C" w:rsidRPr="003D6C3C">
        <w:rPr>
          <w:rFonts w:ascii="Times New Roman" w:eastAsia="Times New Roman" w:hAnsi="Times New Roman" w:cs="Times New Roman"/>
          <w:sz w:val="24"/>
          <w:szCs w:val="24"/>
          <w:lang w:eastAsia="hr-HR"/>
        </w:rPr>
        <w:t xml:space="preserve"> </w:t>
      </w:r>
      <w:r w:rsidR="003D6C3C">
        <w:rPr>
          <w:rFonts w:ascii="Times New Roman" w:eastAsia="Times New Roman" w:hAnsi="Times New Roman" w:cs="Times New Roman"/>
          <w:sz w:val="24"/>
          <w:szCs w:val="24"/>
          <w:lang w:eastAsia="hr-HR"/>
        </w:rPr>
        <w:t>u I. Izmjenama i dopunama Financijskog plana za 2024. godinu povećan je za 100.000,00 eura koji su dodatno dobiveni iz proračuna Varaždinske županije.</w:t>
      </w:r>
      <w:r w:rsidR="00FC6F7B">
        <w:rPr>
          <w:rFonts w:ascii="Times New Roman" w:eastAsia="Times New Roman" w:hAnsi="Times New Roman" w:cs="Times New Roman"/>
          <w:sz w:val="24"/>
          <w:szCs w:val="24"/>
          <w:lang w:eastAsia="hr-HR"/>
        </w:rPr>
        <w:t xml:space="preserve"> Izvor financiranja 44</w:t>
      </w:r>
      <w:r w:rsidR="00BC3235">
        <w:rPr>
          <w:rFonts w:ascii="Times New Roman" w:eastAsia="Times New Roman" w:hAnsi="Times New Roman" w:cs="Times New Roman"/>
          <w:sz w:val="24"/>
          <w:szCs w:val="24"/>
          <w:lang w:eastAsia="hr-HR"/>
        </w:rPr>
        <w:t xml:space="preserve"> u I. Izmjenama i dopunama Financijskog plana za 2024. godinu </w:t>
      </w:r>
      <w:r w:rsidR="00FC6F7B">
        <w:rPr>
          <w:rFonts w:ascii="Times New Roman" w:eastAsia="Times New Roman" w:hAnsi="Times New Roman" w:cs="Times New Roman"/>
          <w:sz w:val="24"/>
          <w:szCs w:val="24"/>
          <w:lang w:eastAsia="hr-HR"/>
        </w:rPr>
        <w:t>povećan je</w:t>
      </w:r>
      <w:r w:rsidR="00BC3235">
        <w:rPr>
          <w:rFonts w:ascii="Times New Roman" w:eastAsia="Times New Roman" w:hAnsi="Times New Roman" w:cs="Times New Roman"/>
          <w:sz w:val="24"/>
          <w:szCs w:val="24"/>
          <w:lang w:eastAsia="hr-HR"/>
        </w:rPr>
        <w:t xml:space="preserve"> </w:t>
      </w:r>
      <w:r w:rsidR="003D6C3C">
        <w:rPr>
          <w:rFonts w:ascii="Times New Roman" w:eastAsia="Times New Roman" w:hAnsi="Times New Roman" w:cs="Times New Roman"/>
          <w:sz w:val="24"/>
          <w:szCs w:val="24"/>
          <w:lang w:eastAsia="hr-HR"/>
        </w:rPr>
        <w:t>za 3</w:t>
      </w:r>
      <w:r w:rsidR="00595BA4">
        <w:rPr>
          <w:rFonts w:ascii="Times New Roman" w:eastAsia="Times New Roman" w:hAnsi="Times New Roman" w:cs="Times New Roman"/>
          <w:sz w:val="24"/>
          <w:szCs w:val="24"/>
          <w:lang w:eastAsia="hr-HR"/>
        </w:rPr>
        <w:t>3</w:t>
      </w:r>
      <w:r w:rsidR="00BC3235">
        <w:rPr>
          <w:rFonts w:ascii="Times New Roman" w:eastAsia="Times New Roman" w:hAnsi="Times New Roman" w:cs="Times New Roman"/>
          <w:sz w:val="24"/>
          <w:szCs w:val="24"/>
          <w:lang w:eastAsia="hr-HR"/>
        </w:rPr>
        <w:t>0.205,00 EUR.</w:t>
      </w:r>
      <w:r w:rsidR="00595BA4">
        <w:rPr>
          <w:rFonts w:ascii="Times New Roman" w:eastAsia="Times New Roman" w:hAnsi="Times New Roman" w:cs="Times New Roman"/>
          <w:sz w:val="24"/>
          <w:szCs w:val="24"/>
          <w:lang w:eastAsia="hr-HR"/>
        </w:rPr>
        <w:t xml:space="preserve"> Taj iznos sastoji se od 11.708,00 EUR</w:t>
      </w:r>
      <w:r w:rsidR="00C860A0">
        <w:rPr>
          <w:rFonts w:ascii="Times New Roman" w:eastAsia="Times New Roman" w:hAnsi="Times New Roman" w:cs="Times New Roman"/>
          <w:sz w:val="24"/>
          <w:szCs w:val="24"/>
          <w:lang w:eastAsia="hr-HR"/>
        </w:rPr>
        <w:t xml:space="preserve"> koji se</w:t>
      </w:r>
      <w:r w:rsidR="00C860A0" w:rsidRPr="00C860A0">
        <w:rPr>
          <w:rFonts w:ascii="Times New Roman" w:eastAsia="Times New Roman" w:hAnsi="Times New Roman" w:cs="Times New Roman"/>
          <w:sz w:val="24"/>
          <w:szCs w:val="24"/>
          <w:lang w:eastAsia="hr-HR"/>
        </w:rPr>
        <w:t xml:space="preserve"> </w:t>
      </w:r>
      <w:r w:rsidR="00C860A0">
        <w:rPr>
          <w:rFonts w:ascii="Times New Roman" w:eastAsia="Times New Roman" w:hAnsi="Times New Roman" w:cs="Times New Roman"/>
          <w:sz w:val="24"/>
          <w:szCs w:val="24"/>
          <w:lang w:eastAsia="hr-HR"/>
        </w:rPr>
        <w:t>odnosi na dodatno povećanje decentraliziranih sredstava od 2% koje je bilo vidljivo tek nakon donošenja Odluke</w:t>
      </w:r>
      <w:r w:rsidR="00C860A0" w:rsidRPr="00486675">
        <w:rPr>
          <w:rFonts w:ascii="Times New Roman" w:eastAsia="Times New Roman" w:hAnsi="Times New Roman" w:cs="Times New Roman"/>
          <w:sz w:val="24"/>
          <w:szCs w:val="24"/>
          <w:lang w:eastAsia="hr-HR"/>
        </w:rPr>
        <w:t xml:space="preserve"> o minimalnim financijskim standardima, kriterijima i mjerilima za decentralizirano financiranje domova za starije osobe u 2024. </w:t>
      </w:r>
      <w:r w:rsidR="003D6C3C">
        <w:rPr>
          <w:rFonts w:ascii="Times New Roman" w:eastAsia="Times New Roman" w:hAnsi="Times New Roman" w:cs="Times New Roman"/>
          <w:sz w:val="24"/>
          <w:szCs w:val="24"/>
          <w:lang w:eastAsia="hr-HR"/>
        </w:rPr>
        <w:t>g</w:t>
      </w:r>
      <w:r w:rsidR="00C860A0" w:rsidRPr="00486675">
        <w:rPr>
          <w:rFonts w:ascii="Times New Roman" w:eastAsia="Times New Roman" w:hAnsi="Times New Roman" w:cs="Times New Roman"/>
          <w:sz w:val="24"/>
          <w:szCs w:val="24"/>
          <w:lang w:eastAsia="hr-HR"/>
        </w:rPr>
        <w:t>odini</w:t>
      </w:r>
      <w:r w:rsidR="003D6C3C">
        <w:rPr>
          <w:rFonts w:ascii="Times New Roman" w:eastAsia="Times New Roman" w:hAnsi="Times New Roman" w:cs="Times New Roman"/>
          <w:sz w:val="24"/>
          <w:szCs w:val="24"/>
          <w:lang w:eastAsia="hr-HR"/>
        </w:rPr>
        <w:t xml:space="preserve">, </w:t>
      </w:r>
      <w:r w:rsidR="00C860A0">
        <w:rPr>
          <w:rFonts w:ascii="Times New Roman" w:eastAsia="Times New Roman" w:hAnsi="Times New Roman" w:cs="Times New Roman"/>
          <w:sz w:val="24"/>
          <w:szCs w:val="24"/>
          <w:lang w:eastAsia="hr-HR"/>
        </w:rPr>
        <w:t>od 218.497,00 EUR</w:t>
      </w:r>
      <w:r w:rsidR="00354462">
        <w:rPr>
          <w:rFonts w:ascii="Times New Roman" w:eastAsia="Times New Roman" w:hAnsi="Times New Roman" w:cs="Times New Roman"/>
          <w:sz w:val="24"/>
          <w:szCs w:val="24"/>
          <w:lang w:eastAsia="hr-HR"/>
        </w:rPr>
        <w:t xml:space="preserve"> koje je Županija ostvarila kao višak od decentraliziranih sredstava i Odlukom o raspodjeli rezultata na sjednici Županijske skupštine Varaždinske županije Domu je dodijeljen navedeni iznos</w:t>
      </w:r>
      <w:r w:rsidR="003D6C3C">
        <w:rPr>
          <w:rFonts w:ascii="Times New Roman" w:eastAsia="Times New Roman" w:hAnsi="Times New Roman" w:cs="Times New Roman"/>
          <w:sz w:val="24"/>
          <w:szCs w:val="24"/>
          <w:lang w:eastAsia="hr-HR"/>
        </w:rPr>
        <w:t xml:space="preserve"> te od dodatnih 100.000,00 eura koje je Županija ostvarila kod decentraliziranih sredstava</w:t>
      </w:r>
      <w:r w:rsidR="00D60C82">
        <w:rPr>
          <w:rFonts w:ascii="Times New Roman" w:eastAsia="Times New Roman" w:hAnsi="Times New Roman" w:cs="Times New Roman"/>
          <w:sz w:val="24"/>
          <w:szCs w:val="24"/>
          <w:lang w:eastAsia="hr-HR"/>
        </w:rPr>
        <w:t xml:space="preserve"> (višak od poreza)</w:t>
      </w:r>
      <w:r w:rsidR="00354462">
        <w:rPr>
          <w:rFonts w:ascii="Times New Roman" w:eastAsia="Times New Roman" w:hAnsi="Times New Roman" w:cs="Times New Roman"/>
          <w:sz w:val="24"/>
          <w:szCs w:val="24"/>
          <w:lang w:eastAsia="hr-HR"/>
        </w:rPr>
        <w:t>.</w:t>
      </w:r>
      <w:r w:rsidR="00354462">
        <w:rPr>
          <w:rFonts w:ascii="Times New Roman" w:eastAsia="Times New Roman" w:hAnsi="Times New Roman" w:cs="Times New Roman"/>
          <w:bCs/>
          <w:sz w:val="24"/>
          <w:szCs w:val="24"/>
          <w:lang w:eastAsia="hr-HR"/>
        </w:rPr>
        <w:t xml:space="preserve"> </w:t>
      </w:r>
      <w:r w:rsidR="00595BA4">
        <w:rPr>
          <w:rFonts w:ascii="Times New Roman" w:eastAsia="Times New Roman" w:hAnsi="Times New Roman" w:cs="Times New Roman"/>
          <w:sz w:val="24"/>
          <w:szCs w:val="24"/>
          <w:lang w:eastAsia="hr-HR"/>
        </w:rPr>
        <w:t>U navedenim prihodima dodano je i 70.000,00 EUR</w:t>
      </w:r>
      <w:r w:rsidR="00354462">
        <w:rPr>
          <w:rFonts w:ascii="Times New Roman" w:eastAsia="Times New Roman" w:hAnsi="Times New Roman" w:cs="Times New Roman"/>
          <w:sz w:val="24"/>
          <w:szCs w:val="24"/>
          <w:lang w:eastAsia="hr-HR"/>
        </w:rPr>
        <w:t xml:space="preserve"> (izvor financiranja 52 – ostale pomoći)</w:t>
      </w:r>
      <w:r w:rsidR="00595BA4">
        <w:rPr>
          <w:rFonts w:ascii="Times New Roman" w:eastAsia="Times New Roman" w:hAnsi="Times New Roman" w:cs="Times New Roman"/>
          <w:sz w:val="24"/>
          <w:szCs w:val="24"/>
          <w:lang w:eastAsia="hr-HR"/>
        </w:rPr>
        <w:t xml:space="preserve"> koje će Dom putem Varaždinske županije dobiti za ugradnju sustava va</w:t>
      </w:r>
      <w:r w:rsidR="00354462">
        <w:rPr>
          <w:rFonts w:ascii="Times New Roman" w:eastAsia="Times New Roman" w:hAnsi="Times New Roman" w:cs="Times New Roman"/>
          <w:sz w:val="24"/>
          <w:szCs w:val="24"/>
          <w:lang w:eastAsia="hr-HR"/>
        </w:rPr>
        <w:t xml:space="preserve">trodojave (Županija će knjižiti prihode od </w:t>
      </w:r>
      <w:r w:rsidR="00354462">
        <w:rPr>
          <w:rFonts w:ascii="Times New Roman" w:eastAsia="Times New Roman" w:hAnsi="Times New Roman" w:cs="Times New Roman"/>
          <w:bCs/>
          <w:sz w:val="24"/>
          <w:szCs w:val="24"/>
          <w:lang w:eastAsia="hr-HR"/>
        </w:rPr>
        <w:t>Ministarstva regionalnoga razvoja i fondova Europske unije</w:t>
      </w:r>
      <w:r w:rsidR="00595BA4">
        <w:rPr>
          <w:rFonts w:ascii="Times New Roman" w:eastAsia="Times New Roman" w:hAnsi="Times New Roman" w:cs="Times New Roman"/>
          <w:sz w:val="24"/>
          <w:szCs w:val="24"/>
          <w:lang w:eastAsia="hr-HR"/>
        </w:rPr>
        <w:t>).</w:t>
      </w:r>
    </w:p>
    <w:p w:rsidR="00DF6EE8" w:rsidRDefault="00EC6D79" w:rsidP="0023437A">
      <w:pPr>
        <w:spacing w:after="240"/>
        <w:ind w:firstLine="284"/>
        <w:jc w:val="both"/>
        <w:rPr>
          <w:rFonts w:ascii="Times New Roman" w:eastAsia="Times New Roman" w:hAnsi="Times New Roman" w:cs="Times New Roman"/>
          <w:sz w:val="24"/>
          <w:szCs w:val="24"/>
          <w:lang w:eastAsia="hr-HR"/>
        </w:rPr>
      </w:pPr>
      <w:r w:rsidRPr="00C64769">
        <w:rPr>
          <w:rFonts w:ascii="Times New Roman" w:eastAsia="Times New Roman" w:hAnsi="Times New Roman" w:cs="Times New Roman"/>
          <w:sz w:val="24"/>
          <w:szCs w:val="24"/>
          <w:lang w:eastAsia="hr-HR"/>
        </w:rPr>
        <w:t xml:space="preserve">Ustanova nema u planu nikakvo zaduživanje tako da u Financijskom planu za 2024. </w:t>
      </w:r>
      <w:r w:rsidR="00C64769" w:rsidRPr="00C64769">
        <w:rPr>
          <w:rFonts w:ascii="Times New Roman" w:eastAsia="Times New Roman" w:hAnsi="Times New Roman" w:cs="Times New Roman"/>
          <w:sz w:val="24"/>
          <w:szCs w:val="24"/>
          <w:lang w:eastAsia="hr-HR"/>
        </w:rPr>
        <w:t>g</w:t>
      </w:r>
      <w:r w:rsidRPr="00C64769">
        <w:rPr>
          <w:rFonts w:ascii="Times New Roman" w:eastAsia="Times New Roman" w:hAnsi="Times New Roman" w:cs="Times New Roman"/>
          <w:sz w:val="24"/>
          <w:szCs w:val="24"/>
          <w:lang w:eastAsia="hr-HR"/>
        </w:rPr>
        <w:t>odinu</w:t>
      </w:r>
      <w:r w:rsidR="00C64769" w:rsidRPr="00C64769">
        <w:rPr>
          <w:rFonts w:ascii="Times New Roman" w:eastAsia="Times New Roman" w:hAnsi="Times New Roman" w:cs="Times New Roman"/>
          <w:sz w:val="24"/>
          <w:szCs w:val="24"/>
          <w:lang w:eastAsia="hr-HR"/>
        </w:rPr>
        <w:t xml:space="preserve"> niti u I. Izmjenama i dopunama Financijskog plana za 2024. godinu </w:t>
      </w:r>
      <w:r w:rsidRPr="00C64769">
        <w:rPr>
          <w:rFonts w:ascii="Times New Roman" w:eastAsia="Times New Roman" w:hAnsi="Times New Roman" w:cs="Times New Roman"/>
          <w:sz w:val="24"/>
          <w:szCs w:val="24"/>
          <w:lang w:eastAsia="hr-HR"/>
        </w:rPr>
        <w:t>nisu planirani nikakvi primici</w:t>
      </w:r>
      <w:r w:rsidR="00CF21D1" w:rsidRPr="00C64769">
        <w:rPr>
          <w:rFonts w:ascii="Times New Roman" w:eastAsia="Times New Roman" w:hAnsi="Times New Roman" w:cs="Times New Roman"/>
          <w:sz w:val="24"/>
          <w:szCs w:val="24"/>
          <w:lang w:eastAsia="hr-HR"/>
        </w:rPr>
        <w:t>.</w:t>
      </w:r>
    </w:p>
    <w:p w:rsidR="00CA433B" w:rsidRPr="00DF6EE8" w:rsidRDefault="00DF6EE8" w:rsidP="00DF6EE8">
      <w:pPr>
        <w:pStyle w:val="Odlomakpopisa"/>
        <w:numPr>
          <w:ilvl w:val="0"/>
          <w:numId w:val="16"/>
        </w:numPr>
        <w:spacing w:after="240"/>
        <w:ind w:left="284" w:hanging="284"/>
        <w:jc w:val="both"/>
        <w:rPr>
          <w:rFonts w:ascii="Times New Roman" w:hAnsi="Times New Roman" w:cs="Times New Roman"/>
          <w:b/>
          <w:i/>
          <w:sz w:val="24"/>
          <w:szCs w:val="24"/>
          <w:u w:val="single"/>
        </w:rPr>
      </w:pPr>
      <w:r>
        <w:rPr>
          <w:rFonts w:ascii="Times New Roman" w:hAnsi="Times New Roman" w:cs="Times New Roman"/>
          <w:b/>
          <w:i/>
          <w:sz w:val="24"/>
          <w:szCs w:val="24"/>
          <w:u w:val="single"/>
        </w:rPr>
        <w:t>RASHODI I IZDACI</w:t>
      </w:r>
    </w:p>
    <w:p w:rsidR="001C5B5C" w:rsidRPr="006F212A" w:rsidRDefault="006F212A" w:rsidP="00116F29">
      <w:pPr>
        <w:spacing w:after="120"/>
        <w:ind w:firstLine="284"/>
        <w:jc w:val="both"/>
        <w:rPr>
          <w:rFonts w:ascii="Times New Roman" w:eastAsia="Times New Roman" w:hAnsi="Times New Roman" w:cs="Times New Roman"/>
          <w:sz w:val="24"/>
          <w:szCs w:val="24"/>
          <w:lang w:eastAsia="hr-HR"/>
        </w:rPr>
      </w:pPr>
      <w:r w:rsidRPr="006F212A">
        <w:rPr>
          <w:rFonts w:ascii="Times New Roman" w:eastAsia="Times New Roman" w:hAnsi="Times New Roman" w:cs="Times New Roman"/>
          <w:sz w:val="24"/>
          <w:szCs w:val="24"/>
          <w:lang w:eastAsia="hr-HR"/>
        </w:rPr>
        <w:t>Pregled rashoda prema ekonomskoj klasifikaciji na razini skupine te prikaz udjela rashoda u strukturi ukupnih rashoda kod novog Plana za 2024. godinu u odnosu na prvotni Plan daje se u tabličnom prikazu:</w:t>
      </w:r>
    </w:p>
    <w:p w:rsidR="00E34B80" w:rsidRDefault="00BC5A1A" w:rsidP="0070202A">
      <w:pPr>
        <w:spacing w:after="120"/>
        <w:jc w:val="center"/>
        <w:rPr>
          <w:rFonts w:ascii="Times New Roman" w:eastAsia="Times New Roman" w:hAnsi="Times New Roman" w:cs="Times New Roman"/>
          <w:sz w:val="24"/>
          <w:szCs w:val="24"/>
          <w:lang w:eastAsia="hr-HR"/>
        </w:rPr>
      </w:pPr>
      <w:r w:rsidRPr="00BC5A1A">
        <w:rPr>
          <w:noProof/>
          <w:lang w:eastAsia="hr-HR"/>
        </w:rPr>
        <w:drawing>
          <wp:inline distT="0" distB="0" distL="0" distR="0" wp14:anchorId="7195B2A5" wp14:editId="16F34713">
            <wp:extent cx="5669279" cy="2743200"/>
            <wp:effectExtent l="0" t="0" r="8255"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0550" cy="2743815"/>
                    </a:xfrm>
                    <a:prstGeom prst="rect">
                      <a:avLst/>
                    </a:prstGeom>
                    <a:noFill/>
                    <a:ln>
                      <a:noFill/>
                    </a:ln>
                  </pic:spPr>
                </pic:pic>
              </a:graphicData>
            </a:graphic>
          </wp:inline>
        </w:drawing>
      </w:r>
    </w:p>
    <w:p w:rsidR="0070202A" w:rsidRDefault="0070202A" w:rsidP="00DF68BF">
      <w:pPr>
        <w:spacing w:after="0"/>
        <w:ind w:firstLine="284"/>
        <w:jc w:val="both"/>
        <w:rPr>
          <w:rFonts w:ascii="Times New Roman" w:eastAsia="Times New Roman" w:hAnsi="Times New Roman" w:cs="Times New Roman"/>
          <w:sz w:val="24"/>
          <w:szCs w:val="24"/>
          <w:lang w:eastAsia="hr-HR"/>
        </w:rPr>
      </w:pPr>
    </w:p>
    <w:p w:rsidR="00923A7A" w:rsidRDefault="009C4BF6" w:rsidP="007D6E2E">
      <w:pPr>
        <w:spacing w:after="120"/>
        <w:ind w:firstLine="284"/>
        <w:jc w:val="both"/>
        <w:rPr>
          <w:rFonts w:ascii="Times New Roman" w:eastAsia="Times New Roman" w:hAnsi="Times New Roman" w:cs="Times New Roman"/>
          <w:sz w:val="24"/>
          <w:szCs w:val="24"/>
          <w:lang w:eastAsia="hr-HR"/>
        </w:rPr>
      </w:pPr>
      <w:r w:rsidRPr="00355F81">
        <w:rPr>
          <w:rFonts w:ascii="Times New Roman" w:eastAsia="Times New Roman" w:hAnsi="Times New Roman" w:cs="Times New Roman"/>
          <w:sz w:val="24"/>
          <w:szCs w:val="24"/>
          <w:lang w:eastAsia="hr-HR"/>
        </w:rPr>
        <w:t>Rashodi za zaposlene</w:t>
      </w:r>
      <w:r w:rsidR="00553475" w:rsidRPr="00355F81">
        <w:rPr>
          <w:rFonts w:ascii="Times New Roman" w:eastAsia="Times New Roman" w:hAnsi="Times New Roman" w:cs="Times New Roman"/>
          <w:sz w:val="24"/>
          <w:szCs w:val="24"/>
          <w:lang w:eastAsia="hr-HR"/>
        </w:rPr>
        <w:t xml:space="preserve"> </w:t>
      </w:r>
      <w:r w:rsidR="005A6225" w:rsidRPr="00355F81">
        <w:rPr>
          <w:rFonts w:ascii="Times New Roman" w:eastAsia="Times New Roman" w:hAnsi="Times New Roman" w:cs="Times New Roman"/>
          <w:sz w:val="24"/>
          <w:szCs w:val="24"/>
          <w:lang w:eastAsia="hr-HR"/>
        </w:rPr>
        <w:t>planirani</w:t>
      </w:r>
      <w:r w:rsidR="00553475" w:rsidRPr="00355F81">
        <w:rPr>
          <w:rFonts w:ascii="Times New Roman" w:eastAsia="Times New Roman" w:hAnsi="Times New Roman" w:cs="Times New Roman"/>
          <w:sz w:val="24"/>
          <w:szCs w:val="24"/>
          <w:lang w:eastAsia="hr-HR"/>
        </w:rPr>
        <w:t xml:space="preserve"> su</w:t>
      </w:r>
      <w:r w:rsidR="005A6225" w:rsidRPr="00355F81">
        <w:rPr>
          <w:rFonts w:ascii="Times New Roman" w:eastAsia="Times New Roman" w:hAnsi="Times New Roman" w:cs="Times New Roman"/>
          <w:sz w:val="24"/>
          <w:szCs w:val="24"/>
          <w:lang w:eastAsia="hr-HR"/>
        </w:rPr>
        <w:t xml:space="preserve"> </w:t>
      </w:r>
      <w:r w:rsidRPr="00355F81">
        <w:rPr>
          <w:rFonts w:ascii="Times New Roman" w:eastAsia="Times New Roman" w:hAnsi="Times New Roman" w:cs="Times New Roman"/>
          <w:sz w:val="24"/>
          <w:szCs w:val="24"/>
          <w:lang w:eastAsia="hr-HR"/>
        </w:rPr>
        <w:t>u izno</w:t>
      </w:r>
      <w:r w:rsidR="00553475" w:rsidRPr="00355F81">
        <w:rPr>
          <w:rFonts w:ascii="Times New Roman" w:eastAsia="Times New Roman" w:hAnsi="Times New Roman" w:cs="Times New Roman"/>
          <w:sz w:val="24"/>
          <w:szCs w:val="24"/>
          <w:lang w:eastAsia="hr-HR"/>
        </w:rPr>
        <w:t>su od 1.961.980</w:t>
      </w:r>
      <w:r w:rsidRPr="00355F81">
        <w:rPr>
          <w:rFonts w:ascii="Times New Roman" w:eastAsia="Times New Roman" w:hAnsi="Times New Roman" w:cs="Times New Roman"/>
          <w:sz w:val="24"/>
          <w:szCs w:val="24"/>
          <w:lang w:eastAsia="hr-HR"/>
        </w:rPr>
        <w:t>,00 EUR</w:t>
      </w:r>
      <w:r w:rsidR="00553475" w:rsidRPr="00355F81">
        <w:rPr>
          <w:rFonts w:ascii="Times New Roman" w:eastAsia="Times New Roman" w:hAnsi="Times New Roman" w:cs="Times New Roman"/>
          <w:sz w:val="24"/>
          <w:szCs w:val="24"/>
          <w:lang w:eastAsia="hr-HR"/>
        </w:rPr>
        <w:t xml:space="preserve"> i u</w:t>
      </w:r>
      <w:r w:rsidR="00355F81" w:rsidRPr="00355F81">
        <w:rPr>
          <w:rFonts w:ascii="Times New Roman" w:eastAsia="Times New Roman" w:hAnsi="Times New Roman" w:cs="Times New Roman"/>
          <w:sz w:val="24"/>
          <w:szCs w:val="24"/>
          <w:lang w:eastAsia="hr-HR"/>
        </w:rPr>
        <w:t xml:space="preserve"> strukturi ukupnih rashoda činili su </w:t>
      </w:r>
      <w:r w:rsidRPr="00355F81">
        <w:rPr>
          <w:rFonts w:ascii="Times New Roman" w:eastAsia="Times New Roman" w:hAnsi="Times New Roman" w:cs="Times New Roman"/>
          <w:sz w:val="24"/>
          <w:szCs w:val="24"/>
          <w:lang w:eastAsia="hr-HR"/>
        </w:rPr>
        <w:t xml:space="preserve">udio od </w:t>
      </w:r>
      <w:r w:rsidR="00553475" w:rsidRPr="00355F81">
        <w:rPr>
          <w:rFonts w:ascii="Times New Roman" w:eastAsia="Times New Roman" w:hAnsi="Times New Roman" w:cs="Times New Roman"/>
          <w:sz w:val="24"/>
          <w:szCs w:val="24"/>
          <w:lang w:eastAsia="hr-HR"/>
        </w:rPr>
        <w:t>60,19</w:t>
      </w:r>
      <w:r w:rsidRPr="00355F81">
        <w:rPr>
          <w:rFonts w:ascii="Times New Roman" w:eastAsia="Times New Roman" w:hAnsi="Times New Roman" w:cs="Times New Roman"/>
          <w:sz w:val="24"/>
          <w:szCs w:val="24"/>
          <w:lang w:eastAsia="hr-HR"/>
        </w:rPr>
        <w:t>%.</w:t>
      </w:r>
      <w:r w:rsidR="00355F81">
        <w:rPr>
          <w:rFonts w:ascii="Times New Roman" w:eastAsia="Times New Roman" w:hAnsi="Times New Roman" w:cs="Times New Roman"/>
          <w:sz w:val="24"/>
          <w:szCs w:val="24"/>
          <w:lang w:eastAsia="hr-HR"/>
        </w:rPr>
        <w:t xml:space="preserve"> I. Izmjenama i dopunama Financijskog plana za 2</w:t>
      </w:r>
      <w:r w:rsidR="00123AD0">
        <w:rPr>
          <w:rFonts w:ascii="Times New Roman" w:eastAsia="Times New Roman" w:hAnsi="Times New Roman" w:cs="Times New Roman"/>
          <w:sz w:val="24"/>
          <w:szCs w:val="24"/>
          <w:lang w:eastAsia="hr-HR"/>
        </w:rPr>
        <w:t>024. godinu oni su povećani za 825.205,00 EUR te sada iznose 2.7</w:t>
      </w:r>
      <w:r w:rsidR="00355F81">
        <w:rPr>
          <w:rFonts w:ascii="Times New Roman" w:eastAsia="Times New Roman" w:hAnsi="Times New Roman" w:cs="Times New Roman"/>
          <w:sz w:val="24"/>
          <w:szCs w:val="24"/>
          <w:lang w:eastAsia="hr-HR"/>
        </w:rPr>
        <w:t>87.185,00 EUR i čine još veći udio u struktur</w:t>
      </w:r>
      <w:r w:rsidR="00123AD0">
        <w:rPr>
          <w:rFonts w:ascii="Times New Roman" w:eastAsia="Times New Roman" w:hAnsi="Times New Roman" w:cs="Times New Roman"/>
          <w:sz w:val="24"/>
          <w:szCs w:val="24"/>
          <w:lang w:eastAsia="hr-HR"/>
        </w:rPr>
        <w:t>i ukupnih rashoda u iznosu od 67,64</w:t>
      </w:r>
      <w:r w:rsidR="00355F81">
        <w:rPr>
          <w:rFonts w:ascii="Times New Roman" w:eastAsia="Times New Roman" w:hAnsi="Times New Roman" w:cs="Times New Roman"/>
          <w:sz w:val="24"/>
          <w:szCs w:val="24"/>
          <w:lang w:eastAsia="hr-HR"/>
        </w:rPr>
        <w:t>%.</w:t>
      </w:r>
      <w:r w:rsidR="00220345" w:rsidRPr="00355F81">
        <w:rPr>
          <w:rFonts w:ascii="Times New Roman" w:eastAsia="Times New Roman" w:hAnsi="Times New Roman" w:cs="Times New Roman"/>
          <w:sz w:val="24"/>
          <w:szCs w:val="24"/>
          <w:lang w:eastAsia="hr-HR"/>
        </w:rPr>
        <w:t xml:space="preserve"> U ovoj skupini rashoda planirane su bruto plaće zaposlenih, ostali rashodi za zaposlene i doprinosi na plaće.</w:t>
      </w:r>
      <w:r w:rsidR="00C54A0D" w:rsidRPr="00355F81">
        <w:rPr>
          <w:rFonts w:ascii="Times New Roman" w:eastAsia="Times New Roman" w:hAnsi="Times New Roman" w:cs="Times New Roman"/>
          <w:sz w:val="24"/>
          <w:szCs w:val="24"/>
          <w:lang w:eastAsia="hr-HR"/>
        </w:rPr>
        <w:t xml:space="preserve"> </w:t>
      </w:r>
      <w:r w:rsidR="00C54A0D" w:rsidRPr="00923A7A">
        <w:rPr>
          <w:rFonts w:ascii="Times New Roman" w:eastAsia="Times New Roman" w:hAnsi="Times New Roman" w:cs="Times New Roman"/>
          <w:sz w:val="24"/>
          <w:szCs w:val="24"/>
          <w:lang w:eastAsia="hr-HR"/>
        </w:rPr>
        <w:t>Navedeni rashodi financiraju se iz tri izvora financiranja – iz izvora 11 (opći prihodi i primici)</w:t>
      </w:r>
      <w:r w:rsidR="00355F81" w:rsidRPr="00923A7A">
        <w:rPr>
          <w:rFonts w:ascii="Times New Roman" w:eastAsia="Times New Roman" w:hAnsi="Times New Roman" w:cs="Times New Roman"/>
          <w:sz w:val="24"/>
          <w:szCs w:val="24"/>
          <w:lang w:eastAsia="hr-HR"/>
        </w:rPr>
        <w:t xml:space="preserve"> prvotno je planiran iznos </w:t>
      </w:r>
      <w:r w:rsidR="00C54A0D" w:rsidRPr="00923A7A">
        <w:rPr>
          <w:rFonts w:ascii="Times New Roman" w:eastAsia="Times New Roman" w:hAnsi="Times New Roman" w:cs="Times New Roman"/>
          <w:sz w:val="24"/>
          <w:szCs w:val="24"/>
          <w:lang w:eastAsia="hr-HR"/>
        </w:rPr>
        <w:t>od 247.489,00 EUR, iz izvora 43 (osta</w:t>
      </w:r>
      <w:r w:rsidR="00355F81" w:rsidRPr="00923A7A">
        <w:rPr>
          <w:rFonts w:ascii="Times New Roman" w:eastAsia="Times New Roman" w:hAnsi="Times New Roman" w:cs="Times New Roman"/>
          <w:sz w:val="24"/>
          <w:szCs w:val="24"/>
          <w:lang w:eastAsia="hr-HR"/>
        </w:rPr>
        <w:t>li prihodi za posebne namjene) iznos</w:t>
      </w:r>
      <w:r w:rsidR="00C54A0D" w:rsidRPr="00923A7A">
        <w:rPr>
          <w:rFonts w:ascii="Times New Roman" w:eastAsia="Times New Roman" w:hAnsi="Times New Roman" w:cs="Times New Roman"/>
          <w:sz w:val="24"/>
          <w:szCs w:val="24"/>
          <w:lang w:eastAsia="hr-HR"/>
        </w:rPr>
        <w:t xml:space="preserve"> od 1.144.700,00 EUR i iz izvora 44 (decentralizirana sredstva</w:t>
      </w:r>
      <w:r w:rsidR="00923A7A" w:rsidRPr="00923A7A">
        <w:rPr>
          <w:rFonts w:ascii="Times New Roman" w:eastAsia="Times New Roman" w:hAnsi="Times New Roman" w:cs="Times New Roman"/>
          <w:sz w:val="24"/>
          <w:szCs w:val="24"/>
          <w:lang w:eastAsia="hr-HR"/>
        </w:rPr>
        <w:t>) iznos</w:t>
      </w:r>
      <w:r w:rsidR="00B66510" w:rsidRPr="00923A7A">
        <w:rPr>
          <w:rFonts w:ascii="Times New Roman" w:eastAsia="Times New Roman" w:hAnsi="Times New Roman" w:cs="Times New Roman"/>
          <w:sz w:val="24"/>
          <w:szCs w:val="24"/>
          <w:lang w:eastAsia="hr-HR"/>
        </w:rPr>
        <w:t xml:space="preserve"> od 569.791,00 EUR</w:t>
      </w:r>
      <w:r w:rsidR="0038260A" w:rsidRPr="00923A7A">
        <w:rPr>
          <w:rFonts w:ascii="Times New Roman" w:eastAsia="Times New Roman" w:hAnsi="Times New Roman" w:cs="Times New Roman"/>
          <w:sz w:val="24"/>
          <w:szCs w:val="24"/>
          <w:lang w:eastAsia="hr-HR"/>
        </w:rPr>
        <w:t xml:space="preserve">. </w:t>
      </w:r>
      <w:r w:rsidR="00923A7A">
        <w:rPr>
          <w:rFonts w:ascii="Times New Roman" w:eastAsia="Times New Roman" w:hAnsi="Times New Roman" w:cs="Times New Roman"/>
          <w:sz w:val="24"/>
          <w:szCs w:val="24"/>
          <w:lang w:eastAsia="hr-HR"/>
        </w:rPr>
        <w:t xml:space="preserve">Već prilikom donošenja Financijskog plana za 2024. godinu naglašeno je kako je temeljem rađenih projekcija vidljivo da na navedenoj poziciji i dalje nedostaje sredstava, no više nisu bili raspoloživi i mogući nikakvi prihodi kojima bi se pokrili navedeni rashodi. U </w:t>
      </w:r>
      <w:r w:rsidR="006753D2">
        <w:rPr>
          <w:rFonts w:ascii="Times New Roman" w:eastAsia="Times New Roman" w:hAnsi="Times New Roman" w:cs="Times New Roman"/>
          <w:sz w:val="24"/>
          <w:szCs w:val="24"/>
          <w:lang w:eastAsia="hr-HR"/>
        </w:rPr>
        <w:t>međuvremenu, od</w:t>
      </w:r>
      <w:r w:rsidR="006753D2">
        <w:rPr>
          <w:rFonts w:ascii="Times New Roman" w:hAnsi="Times New Roman" w:cs="Times New Roman"/>
          <w:sz w:val="24"/>
          <w:szCs w:val="24"/>
        </w:rPr>
        <w:t xml:space="preserve"> 01. ožujka 2024. godine na snagu je stupila nova Uredba o nazivima radnih mjesta i koeficijentima složenosti poslova u javnim službama (NN 22/24) i rashodi za zaposlene dodatno su nam mjesečno povećani za oko 43.000,00 eura.</w:t>
      </w:r>
      <w:r w:rsidR="007D6E2E">
        <w:rPr>
          <w:rFonts w:ascii="Times New Roman" w:hAnsi="Times New Roman" w:cs="Times New Roman"/>
          <w:sz w:val="24"/>
          <w:szCs w:val="24"/>
        </w:rPr>
        <w:t xml:space="preserve"> U ožujku je također po prvi puta isplaćena i uskrsnica u iznosu od 100,00 EUR po zaposleniku.</w:t>
      </w:r>
      <w:r w:rsidR="006753D2">
        <w:rPr>
          <w:rFonts w:ascii="Times New Roman" w:hAnsi="Times New Roman" w:cs="Times New Roman"/>
          <w:sz w:val="24"/>
          <w:szCs w:val="24"/>
        </w:rPr>
        <w:t xml:space="preserve"> Od spomenutog povećanja ra</w:t>
      </w:r>
      <w:r w:rsidR="00123AD0">
        <w:rPr>
          <w:rFonts w:ascii="Times New Roman" w:hAnsi="Times New Roman" w:cs="Times New Roman"/>
          <w:sz w:val="24"/>
          <w:szCs w:val="24"/>
        </w:rPr>
        <w:t>shoda za zaposlene u iznosu od 8</w:t>
      </w:r>
      <w:r w:rsidR="006753D2">
        <w:rPr>
          <w:rFonts w:ascii="Times New Roman" w:hAnsi="Times New Roman" w:cs="Times New Roman"/>
          <w:sz w:val="24"/>
          <w:szCs w:val="24"/>
        </w:rPr>
        <w:t xml:space="preserve">25.205,00 EUR, </w:t>
      </w:r>
      <w:r w:rsidR="00123AD0">
        <w:rPr>
          <w:rFonts w:ascii="Times New Roman" w:hAnsi="Times New Roman" w:cs="Times New Roman"/>
          <w:sz w:val="24"/>
          <w:szCs w:val="24"/>
        </w:rPr>
        <w:t>1</w:t>
      </w:r>
      <w:r w:rsidR="006753D2">
        <w:rPr>
          <w:rFonts w:ascii="Times New Roman" w:hAnsi="Times New Roman" w:cs="Times New Roman"/>
          <w:sz w:val="24"/>
          <w:szCs w:val="24"/>
        </w:rPr>
        <w:t>70.000,00 EUR odnosi se na izvor financiranja 11 – opći prihodi i primici, odnosno iz županij</w:t>
      </w:r>
      <w:r w:rsidR="00123AD0">
        <w:rPr>
          <w:rFonts w:ascii="Times New Roman" w:hAnsi="Times New Roman" w:cs="Times New Roman"/>
          <w:sz w:val="24"/>
          <w:szCs w:val="24"/>
        </w:rPr>
        <w:t xml:space="preserve">skog proračuna gdje je </w:t>
      </w:r>
      <w:r w:rsidR="006753D2">
        <w:rPr>
          <w:rFonts w:ascii="Times New Roman" w:hAnsi="Times New Roman" w:cs="Times New Roman"/>
          <w:sz w:val="24"/>
          <w:szCs w:val="24"/>
        </w:rPr>
        <w:t>iznos</w:t>
      </w:r>
      <w:r w:rsidR="00123AD0">
        <w:rPr>
          <w:rFonts w:ascii="Times New Roman" w:hAnsi="Times New Roman" w:cs="Times New Roman"/>
          <w:sz w:val="24"/>
          <w:szCs w:val="24"/>
        </w:rPr>
        <w:t xml:space="preserve"> od 70.000,00 EUR</w:t>
      </w:r>
      <w:r w:rsidR="006753D2">
        <w:rPr>
          <w:rFonts w:ascii="Times New Roman" w:hAnsi="Times New Roman" w:cs="Times New Roman"/>
          <w:sz w:val="24"/>
          <w:szCs w:val="24"/>
        </w:rPr>
        <w:t xml:space="preserve"> prebačen iz pozicije planirane za ugradnju vatrodojavnog sustava jer je toliko dobiveno od </w:t>
      </w:r>
      <w:r w:rsidR="006753D2">
        <w:rPr>
          <w:rFonts w:ascii="Times New Roman" w:eastAsia="Times New Roman" w:hAnsi="Times New Roman" w:cs="Times New Roman"/>
          <w:bCs/>
          <w:sz w:val="24"/>
          <w:szCs w:val="24"/>
          <w:lang w:eastAsia="hr-HR"/>
        </w:rPr>
        <w:t>Ministarstva regionalnoga razvoja i fondova Europske unije</w:t>
      </w:r>
      <w:r w:rsidR="00123AD0">
        <w:rPr>
          <w:rFonts w:ascii="Times New Roman" w:eastAsia="Times New Roman" w:hAnsi="Times New Roman" w:cs="Times New Roman"/>
          <w:bCs/>
          <w:sz w:val="24"/>
          <w:szCs w:val="24"/>
          <w:lang w:eastAsia="hr-HR"/>
        </w:rPr>
        <w:t>, a dodatno je još dobiveno 100.000,00 EUR iz proračuna Varaždinske županije</w:t>
      </w:r>
      <w:r w:rsidR="00372A1E">
        <w:rPr>
          <w:rFonts w:ascii="Times New Roman" w:eastAsia="Times New Roman" w:hAnsi="Times New Roman" w:cs="Times New Roman"/>
          <w:bCs/>
          <w:sz w:val="24"/>
          <w:szCs w:val="24"/>
          <w:lang w:eastAsia="hr-HR"/>
        </w:rPr>
        <w:t xml:space="preserve">. Iznosi od </w:t>
      </w:r>
      <w:r w:rsidR="006753D2">
        <w:rPr>
          <w:rFonts w:ascii="Times New Roman" w:eastAsia="Times New Roman" w:hAnsi="Times New Roman" w:cs="Times New Roman"/>
          <w:bCs/>
          <w:sz w:val="24"/>
          <w:szCs w:val="24"/>
          <w:lang w:eastAsia="hr-HR"/>
        </w:rPr>
        <w:t>11.708,00 EUR</w:t>
      </w:r>
      <w:r w:rsidR="00123AD0">
        <w:rPr>
          <w:rFonts w:ascii="Times New Roman" w:eastAsia="Times New Roman" w:hAnsi="Times New Roman" w:cs="Times New Roman"/>
          <w:bCs/>
          <w:sz w:val="24"/>
          <w:szCs w:val="24"/>
          <w:lang w:eastAsia="hr-HR"/>
        </w:rPr>
        <w:t xml:space="preserve">, </w:t>
      </w:r>
      <w:r w:rsidR="00372A1E">
        <w:rPr>
          <w:rFonts w:ascii="Times New Roman" w:eastAsia="Times New Roman" w:hAnsi="Times New Roman" w:cs="Times New Roman"/>
          <w:bCs/>
          <w:sz w:val="24"/>
          <w:szCs w:val="24"/>
          <w:lang w:eastAsia="hr-HR"/>
        </w:rPr>
        <w:t>218.497,00 EUR</w:t>
      </w:r>
      <w:r w:rsidR="00123AD0">
        <w:rPr>
          <w:rFonts w:ascii="Times New Roman" w:eastAsia="Times New Roman" w:hAnsi="Times New Roman" w:cs="Times New Roman"/>
          <w:bCs/>
          <w:sz w:val="24"/>
          <w:szCs w:val="24"/>
          <w:lang w:eastAsia="hr-HR"/>
        </w:rPr>
        <w:t xml:space="preserve"> i 100.000,00 EUR</w:t>
      </w:r>
      <w:r w:rsidR="006753D2">
        <w:rPr>
          <w:rFonts w:ascii="Times New Roman" w:eastAsia="Times New Roman" w:hAnsi="Times New Roman" w:cs="Times New Roman"/>
          <w:bCs/>
          <w:sz w:val="24"/>
          <w:szCs w:val="24"/>
          <w:lang w:eastAsia="hr-HR"/>
        </w:rPr>
        <w:t xml:space="preserve"> odnose se na izvor financiranja 44 – decentralizirana sredstva</w:t>
      </w:r>
      <w:r w:rsidR="00372A1E">
        <w:rPr>
          <w:rFonts w:ascii="Times New Roman" w:eastAsia="Times New Roman" w:hAnsi="Times New Roman" w:cs="Times New Roman"/>
          <w:bCs/>
          <w:sz w:val="24"/>
          <w:szCs w:val="24"/>
          <w:lang w:eastAsia="hr-HR"/>
        </w:rPr>
        <w:t>.</w:t>
      </w:r>
      <w:r w:rsidR="00CE3604">
        <w:rPr>
          <w:rFonts w:ascii="Times New Roman" w:eastAsia="Times New Roman" w:hAnsi="Times New Roman" w:cs="Times New Roman"/>
          <w:bCs/>
          <w:sz w:val="24"/>
          <w:szCs w:val="24"/>
          <w:lang w:eastAsia="hr-HR"/>
        </w:rPr>
        <w:t xml:space="preserve"> Već je prije spomenuto da </w:t>
      </w:r>
      <w:r w:rsidR="00CE3604">
        <w:rPr>
          <w:rFonts w:ascii="Times New Roman" w:eastAsia="Times New Roman" w:hAnsi="Times New Roman" w:cs="Times New Roman"/>
          <w:sz w:val="24"/>
          <w:szCs w:val="24"/>
          <w:lang w:eastAsia="hr-HR"/>
        </w:rPr>
        <w:t>se iznos od 11.708,00 EUR odnosi na dodatno povećanje decentraliziranih sredstava od 2% koje je bilo vidljivo tek nakon donošenja Odluke</w:t>
      </w:r>
      <w:r w:rsidR="00CE3604" w:rsidRPr="00486675">
        <w:rPr>
          <w:rFonts w:ascii="Times New Roman" w:eastAsia="Times New Roman" w:hAnsi="Times New Roman" w:cs="Times New Roman"/>
          <w:sz w:val="24"/>
          <w:szCs w:val="24"/>
          <w:lang w:eastAsia="hr-HR"/>
        </w:rPr>
        <w:t xml:space="preserve"> o minimalnim financijskim standardima, kriterijima i mjerilima za decentralizirano financiranje domova za starije osobe u 2024. </w:t>
      </w:r>
      <w:r w:rsidR="00CE3604">
        <w:rPr>
          <w:rFonts w:ascii="Times New Roman" w:eastAsia="Times New Roman" w:hAnsi="Times New Roman" w:cs="Times New Roman"/>
          <w:sz w:val="24"/>
          <w:szCs w:val="24"/>
          <w:lang w:eastAsia="hr-HR"/>
        </w:rPr>
        <w:t>g</w:t>
      </w:r>
      <w:r w:rsidR="00CE3604" w:rsidRPr="00486675">
        <w:rPr>
          <w:rFonts w:ascii="Times New Roman" w:eastAsia="Times New Roman" w:hAnsi="Times New Roman" w:cs="Times New Roman"/>
          <w:sz w:val="24"/>
          <w:szCs w:val="24"/>
          <w:lang w:eastAsia="hr-HR"/>
        </w:rPr>
        <w:t>odini</w:t>
      </w:r>
      <w:r w:rsidR="00123AD0">
        <w:rPr>
          <w:rFonts w:ascii="Times New Roman" w:eastAsia="Times New Roman" w:hAnsi="Times New Roman" w:cs="Times New Roman"/>
          <w:sz w:val="24"/>
          <w:szCs w:val="24"/>
          <w:lang w:eastAsia="hr-HR"/>
        </w:rPr>
        <w:t xml:space="preserve">, </w:t>
      </w:r>
      <w:r w:rsidR="00CE3604">
        <w:rPr>
          <w:rFonts w:ascii="Times New Roman" w:eastAsia="Times New Roman" w:hAnsi="Times New Roman" w:cs="Times New Roman"/>
          <w:sz w:val="24"/>
          <w:szCs w:val="24"/>
          <w:lang w:eastAsia="hr-HR"/>
        </w:rPr>
        <w:t>iznos od 218.497,00 EUR je Županija ostvarila kao višak od decentraliziranih sredstava i Odlukom o raspodjeli rezultata na sjednici Županijske skupštine Varaždinske županije Domu je dodijeljen navedeni iznos</w:t>
      </w:r>
      <w:r w:rsidR="00123AD0">
        <w:rPr>
          <w:rFonts w:ascii="Times New Roman" w:eastAsia="Times New Roman" w:hAnsi="Times New Roman" w:cs="Times New Roman"/>
          <w:sz w:val="24"/>
          <w:szCs w:val="24"/>
          <w:lang w:eastAsia="hr-HR"/>
        </w:rPr>
        <w:t xml:space="preserve"> i dodatno je </w:t>
      </w:r>
      <w:r w:rsidR="00F46575">
        <w:rPr>
          <w:rFonts w:ascii="Times New Roman" w:eastAsia="Times New Roman" w:hAnsi="Times New Roman" w:cs="Times New Roman"/>
          <w:sz w:val="24"/>
          <w:szCs w:val="24"/>
          <w:lang w:eastAsia="hr-HR"/>
        </w:rPr>
        <w:t>dobiveno još 100.000,00 EUR (</w:t>
      </w:r>
      <w:r w:rsidR="00123AD0">
        <w:rPr>
          <w:rFonts w:ascii="Times New Roman" w:eastAsia="Times New Roman" w:hAnsi="Times New Roman" w:cs="Times New Roman"/>
          <w:sz w:val="24"/>
          <w:szCs w:val="24"/>
          <w:lang w:eastAsia="hr-HR"/>
        </w:rPr>
        <w:t>višak</w:t>
      </w:r>
      <w:r w:rsidR="00F46575">
        <w:rPr>
          <w:rFonts w:ascii="Times New Roman" w:eastAsia="Times New Roman" w:hAnsi="Times New Roman" w:cs="Times New Roman"/>
          <w:sz w:val="24"/>
          <w:szCs w:val="24"/>
          <w:lang w:eastAsia="hr-HR"/>
        </w:rPr>
        <w:t xml:space="preserve"> od poreza)</w:t>
      </w:r>
      <w:r w:rsidR="00123AD0">
        <w:rPr>
          <w:rFonts w:ascii="Times New Roman" w:eastAsia="Times New Roman" w:hAnsi="Times New Roman" w:cs="Times New Roman"/>
          <w:sz w:val="24"/>
          <w:szCs w:val="24"/>
          <w:lang w:eastAsia="hr-HR"/>
        </w:rPr>
        <w:t xml:space="preserve"> kod decentraliziranih sredstava</w:t>
      </w:r>
      <w:r w:rsidR="00CE3604">
        <w:rPr>
          <w:rFonts w:ascii="Times New Roman" w:eastAsia="Times New Roman" w:hAnsi="Times New Roman" w:cs="Times New Roman"/>
          <w:sz w:val="24"/>
          <w:szCs w:val="24"/>
          <w:lang w:eastAsia="hr-HR"/>
        </w:rPr>
        <w:t xml:space="preserve">. Iznos od 325.000,00 EUR odnosi se na izvor financiranja 43 – ostali prihodi za posebne namjene i raspoređen je također na rashode </w:t>
      </w:r>
      <w:r w:rsidR="00A5509D">
        <w:rPr>
          <w:rFonts w:ascii="Times New Roman" w:eastAsia="Times New Roman" w:hAnsi="Times New Roman" w:cs="Times New Roman"/>
          <w:sz w:val="24"/>
          <w:szCs w:val="24"/>
          <w:lang w:eastAsia="hr-HR"/>
        </w:rPr>
        <w:t>za zaposlene temeljem</w:t>
      </w:r>
      <w:r w:rsidR="00CE3604">
        <w:rPr>
          <w:rFonts w:ascii="Times New Roman" w:eastAsia="Times New Roman" w:hAnsi="Times New Roman" w:cs="Times New Roman"/>
          <w:sz w:val="24"/>
          <w:szCs w:val="24"/>
          <w:lang w:eastAsia="hr-HR"/>
        </w:rPr>
        <w:t xml:space="preserve"> povećanja cijena smještaja u Domu.</w:t>
      </w:r>
    </w:p>
    <w:p w:rsidR="007D6E2E" w:rsidRPr="009D635F" w:rsidRDefault="0082775A" w:rsidP="00116F29">
      <w:pPr>
        <w:spacing w:after="120"/>
        <w:ind w:firstLine="284"/>
        <w:jc w:val="both"/>
        <w:rPr>
          <w:rFonts w:ascii="Times New Roman" w:eastAsia="Times New Roman" w:hAnsi="Times New Roman" w:cs="Times New Roman"/>
          <w:sz w:val="24"/>
          <w:szCs w:val="24"/>
          <w:lang w:eastAsia="hr-HR"/>
        </w:rPr>
      </w:pPr>
      <w:r w:rsidRPr="009D635F">
        <w:rPr>
          <w:rFonts w:ascii="Times New Roman" w:eastAsia="Times New Roman" w:hAnsi="Times New Roman" w:cs="Times New Roman"/>
          <w:sz w:val="24"/>
          <w:szCs w:val="24"/>
          <w:lang w:eastAsia="hr-HR"/>
        </w:rPr>
        <w:t>Materijalni rashodi</w:t>
      </w:r>
      <w:r w:rsidR="007D6E2E" w:rsidRPr="009D635F">
        <w:rPr>
          <w:rFonts w:ascii="Times New Roman" w:eastAsia="Times New Roman" w:hAnsi="Times New Roman" w:cs="Times New Roman"/>
          <w:sz w:val="24"/>
          <w:szCs w:val="24"/>
          <w:lang w:eastAsia="hr-HR"/>
        </w:rPr>
        <w:t xml:space="preserve"> prvotno su</w:t>
      </w:r>
      <w:r w:rsidRPr="009D635F">
        <w:rPr>
          <w:rFonts w:ascii="Times New Roman" w:eastAsia="Times New Roman" w:hAnsi="Times New Roman" w:cs="Times New Roman"/>
          <w:sz w:val="24"/>
          <w:szCs w:val="24"/>
          <w:lang w:eastAsia="hr-HR"/>
        </w:rPr>
        <w:t xml:space="preserve"> planir</w:t>
      </w:r>
      <w:r w:rsidR="007D6E2E" w:rsidRPr="009D635F">
        <w:rPr>
          <w:rFonts w:ascii="Times New Roman" w:eastAsia="Times New Roman" w:hAnsi="Times New Roman" w:cs="Times New Roman"/>
          <w:sz w:val="24"/>
          <w:szCs w:val="24"/>
          <w:lang w:eastAsia="hr-HR"/>
        </w:rPr>
        <w:t xml:space="preserve">ani </w:t>
      </w:r>
      <w:r w:rsidR="00107458" w:rsidRPr="009D635F">
        <w:rPr>
          <w:rFonts w:ascii="Times New Roman" w:eastAsia="Times New Roman" w:hAnsi="Times New Roman" w:cs="Times New Roman"/>
          <w:sz w:val="24"/>
          <w:szCs w:val="24"/>
          <w:lang w:eastAsia="hr-HR"/>
        </w:rPr>
        <w:t>u ukupnom iznosu od 1.246.926</w:t>
      </w:r>
      <w:r w:rsidRPr="009D635F">
        <w:rPr>
          <w:rFonts w:ascii="Times New Roman" w:eastAsia="Times New Roman" w:hAnsi="Times New Roman" w:cs="Times New Roman"/>
          <w:sz w:val="24"/>
          <w:szCs w:val="24"/>
          <w:lang w:eastAsia="hr-HR"/>
        </w:rPr>
        <w:t>,00 EUR i u str</w:t>
      </w:r>
      <w:r w:rsidR="00A542E5" w:rsidRPr="009D635F">
        <w:rPr>
          <w:rFonts w:ascii="Times New Roman" w:eastAsia="Times New Roman" w:hAnsi="Times New Roman" w:cs="Times New Roman"/>
          <w:sz w:val="24"/>
          <w:szCs w:val="24"/>
          <w:lang w:eastAsia="hr-HR"/>
        </w:rPr>
        <w:t xml:space="preserve">ukturi ukupnih rashoda </w:t>
      </w:r>
      <w:r w:rsidR="007D6E2E" w:rsidRPr="009D635F">
        <w:rPr>
          <w:rFonts w:ascii="Times New Roman" w:eastAsia="Times New Roman" w:hAnsi="Times New Roman" w:cs="Times New Roman"/>
          <w:sz w:val="24"/>
          <w:szCs w:val="24"/>
          <w:lang w:eastAsia="hr-HR"/>
        </w:rPr>
        <w:t>iznosili su</w:t>
      </w:r>
      <w:r w:rsidR="00107458" w:rsidRPr="009D635F">
        <w:rPr>
          <w:rFonts w:ascii="Times New Roman" w:eastAsia="Times New Roman" w:hAnsi="Times New Roman" w:cs="Times New Roman"/>
          <w:sz w:val="24"/>
          <w:szCs w:val="24"/>
          <w:lang w:eastAsia="hr-HR"/>
        </w:rPr>
        <w:t xml:space="preserve"> 38,25</w:t>
      </w:r>
      <w:r w:rsidRPr="009D635F">
        <w:rPr>
          <w:rFonts w:ascii="Times New Roman" w:eastAsia="Times New Roman" w:hAnsi="Times New Roman" w:cs="Times New Roman"/>
          <w:sz w:val="24"/>
          <w:szCs w:val="24"/>
          <w:lang w:eastAsia="hr-HR"/>
        </w:rPr>
        <w:t>%. Obuhvaćaju rashode za potrebe redovnog poslovanja i odnose se na nadoknade troškova zaposlenima, rashode za materijal i energiju, rashode za usluge te ostale nespomenute rashode poslovanja</w:t>
      </w:r>
      <w:r w:rsidR="00107458" w:rsidRPr="009D635F">
        <w:rPr>
          <w:rFonts w:ascii="Times New Roman" w:eastAsia="Times New Roman" w:hAnsi="Times New Roman" w:cs="Times New Roman"/>
          <w:sz w:val="24"/>
          <w:szCs w:val="24"/>
          <w:lang w:eastAsia="hr-HR"/>
        </w:rPr>
        <w:t>, a najvećim dijelom financiraju se iz izvora 43 (ostali prihodi za posebne namjene), dok se manji dio koji se tiče rashoda zakupaca (el.energija, plin, opskrba vodom i iznošenje smeća) financira iz izvora 31 (vlastiti prihodi)</w:t>
      </w:r>
      <w:r w:rsidR="007D6E2E" w:rsidRPr="009D635F">
        <w:rPr>
          <w:rFonts w:ascii="Times New Roman" w:eastAsia="Times New Roman" w:hAnsi="Times New Roman" w:cs="Times New Roman"/>
          <w:sz w:val="24"/>
          <w:szCs w:val="24"/>
          <w:lang w:eastAsia="hr-HR"/>
        </w:rPr>
        <w:t xml:space="preserve"> i na izvoru 11 (opći prihodi i primici) bila je planirana vatrodojava</w:t>
      </w:r>
      <w:r w:rsidRPr="009D635F">
        <w:rPr>
          <w:rFonts w:ascii="Times New Roman" w:eastAsia="Times New Roman" w:hAnsi="Times New Roman" w:cs="Times New Roman"/>
          <w:sz w:val="24"/>
          <w:szCs w:val="24"/>
          <w:lang w:eastAsia="hr-HR"/>
        </w:rPr>
        <w:t>.</w:t>
      </w:r>
      <w:r w:rsidR="00204AA9" w:rsidRPr="009D635F">
        <w:rPr>
          <w:rFonts w:ascii="Times New Roman" w:eastAsia="Times New Roman" w:hAnsi="Times New Roman" w:cs="Times New Roman"/>
          <w:sz w:val="24"/>
          <w:szCs w:val="24"/>
          <w:lang w:eastAsia="hr-HR"/>
        </w:rPr>
        <w:t xml:space="preserve"> I. Izmjenama i dopunama Financijskog plana za 2024. godinu na pojedinim izvorima financiranja došlo je do povećanja, neke pozicije ostale su nepromijenjene dok je najveća promjena umanjenje materijalnih rashoda za iznos od 165.000,00 EUR koji se odnosi na vatrodojavu. </w:t>
      </w:r>
      <w:r w:rsidR="009D635F" w:rsidRPr="009D635F">
        <w:rPr>
          <w:rFonts w:ascii="Times New Roman" w:eastAsia="Times New Roman" w:hAnsi="Times New Roman" w:cs="Times New Roman"/>
          <w:sz w:val="24"/>
          <w:szCs w:val="24"/>
          <w:lang w:eastAsia="hr-HR"/>
        </w:rPr>
        <w:t>Sustav ugradnje vatrodojave najprije je bio planiran pod razredom 3 (rashodi poslovanja), a sada je stavljen pod razred 4 (rashodi za nabavu nefinancijske imovine).</w:t>
      </w:r>
      <w:r w:rsidR="004F102D" w:rsidRPr="009D635F">
        <w:rPr>
          <w:rFonts w:ascii="Times New Roman" w:eastAsia="Times New Roman" w:hAnsi="Times New Roman" w:cs="Times New Roman"/>
          <w:sz w:val="24"/>
          <w:szCs w:val="24"/>
          <w:lang w:eastAsia="hr-HR"/>
        </w:rPr>
        <w:t xml:space="preserve"> </w:t>
      </w:r>
    </w:p>
    <w:p w:rsidR="006455E6" w:rsidRPr="009D635F" w:rsidRDefault="006455E6" w:rsidP="00116F29">
      <w:pPr>
        <w:spacing w:after="120"/>
        <w:ind w:firstLine="284"/>
        <w:jc w:val="both"/>
        <w:rPr>
          <w:rFonts w:ascii="Times New Roman" w:eastAsia="Times New Roman" w:hAnsi="Times New Roman" w:cs="Times New Roman"/>
          <w:sz w:val="24"/>
          <w:szCs w:val="24"/>
          <w:lang w:eastAsia="hr-HR"/>
        </w:rPr>
      </w:pPr>
      <w:r w:rsidRPr="009D635F">
        <w:rPr>
          <w:rFonts w:ascii="Times New Roman" w:eastAsia="Times New Roman" w:hAnsi="Times New Roman" w:cs="Times New Roman"/>
          <w:sz w:val="24"/>
          <w:szCs w:val="24"/>
          <w:lang w:eastAsia="hr-HR"/>
        </w:rPr>
        <w:lastRenderedPageBreak/>
        <w:t>Financijski rashodi</w:t>
      </w:r>
      <w:r w:rsidR="005A7D96" w:rsidRPr="009D635F">
        <w:rPr>
          <w:rFonts w:ascii="Times New Roman" w:eastAsia="Times New Roman" w:hAnsi="Times New Roman" w:cs="Times New Roman"/>
          <w:sz w:val="24"/>
          <w:szCs w:val="24"/>
          <w:lang w:eastAsia="hr-HR"/>
        </w:rPr>
        <w:t xml:space="preserve"> </w:t>
      </w:r>
      <w:r w:rsidR="00073766" w:rsidRPr="009D635F">
        <w:rPr>
          <w:rFonts w:ascii="Times New Roman" w:eastAsia="Times New Roman" w:hAnsi="Times New Roman" w:cs="Times New Roman"/>
          <w:sz w:val="24"/>
          <w:szCs w:val="24"/>
          <w:lang w:eastAsia="hr-HR"/>
        </w:rPr>
        <w:t>planirani</w:t>
      </w:r>
      <w:r w:rsidR="005A7D96" w:rsidRPr="009D635F">
        <w:rPr>
          <w:rFonts w:ascii="Times New Roman" w:eastAsia="Times New Roman" w:hAnsi="Times New Roman" w:cs="Times New Roman"/>
          <w:sz w:val="24"/>
          <w:szCs w:val="24"/>
          <w:lang w:eastAsia="hr-HR"/>
        </w:rPr>
        <w:t xml:space="preserve"> su</w:t>
      </w:r>
      <w:r w:rsidR="00073766" w:rsidRPr="009D635F">
        <w:rPr>
          <w:rFonts w:ascii="Times New Roman" w:eastAsia="Times New Roman" w:hAnsi="Times New Roman" w:cs="Times New Roman"/>
          <w:sz w:val="24"/>
          <w:szCs w:val="24"/>
          <w:lang w:eastAsia="hr-HR"/>
        </w:rPr>
        <w:t xml:space="preserve"> </w:t>
      </w:r>
      <w:r w:rsidR="005A7D96" w:rsidRPr="009D635F">
        <w:rPr>
          <w:rFonts w:ascii="Times New Roman" w:eastAsia="Times New Roman" w:hAnsi="Times New Roman" w:cs="Times New Roman"/>
          <w:sz w:val="24"/>
          <w:szCs w:val="24"/>
          <w:lang w:eastAsia="hr-HR"/>
        </w:rPr>
        <w:t>u iznosu od 11.70</w:t>
      </w:r>
      <w:r w:rsidRPr="009D635F">
        <w:rPr>
          <w:rFonts w:ascii="Times New Roman" w:eastAsia="Times New Roman" w:hAnsi="Times New Roman" w:cs="Times New Roman"/>
          <w:sz w:val="24"/>
          <w:szCs w:val="24"/>
          <w:lang w:eastAsia="hr-HR"/>
        </w:rPr>
        <w:t>0,00 EUR</w:t>
      </w:r>
      <w:r w:rsidR="009D635F" w:rsidRPr="009D635F">
        <w:rPr>
          <w:rFonts w:ascii="Times New Roman" w:eastAsia="Times New Roman" w:hAnsi="Times New Roman" w:cs="Times New Roman"/>
          <w:sz w:val="24"/>
          <w:szCs w:val="24"/>
          <w:lang w:eastAsia="hr-HR"/>
        </w:rPr>
        <w:t xml:space="preserve"> i navedeni iznos ostaje isti</w:t>
      </w:r>
      <w:r w:rsidRPr="009D635F">
        <w:rPr>
          <w:rFonts w:ascii="Times New Roman" w:eastAsia="Times New Roman" w:hAnsi="Times New Roman" w:cs="Times New Roman"/>
          <w:sz w:val="24"/>
          <w:szCs w:val="24"/>
          <w:lang w:eastAsia="hr-HR"/>
        </w:rPr>
        <w:t>. Odnose se na kamate za primljene kredite</w:t>
      </w:r>
      <w:r w:rsidR="00C078DF" w:rsidRPr="009D635F">
        <w:rPr>
          <w:rFonts w:ascii="Times New Roman" w:eastAsia="Times New Roman" w:hAnsi="Times New Roman" w:cs="Times New Roman"/>
          <w:sz w:val="24"/>
          <w:szCs w:val="24"/>
          <w:lang w:eastAsia="hr-HR"/>
        </w:rPr>
        <w:t xml:space="preserve"> (koje se financiraju iz izvora 11)</w:t>
      </w:r>
      <w:r w:rsidRPr="009D635F">
        <w:rPr>
          <w:rFonts w:ascii="Times New Roman" w:eastAsia="Times New Roman" w:hAnsi="Times New Roman" w:cs="Times New Roman"/>
          <w:sz w:val="24"/>
          <w:szCs w:val="24"/>
          <w:lang w:eastAsia="hr-HR"/>
        </w:rPr>
        <w:t>, zatezne kamate zbog kašnjenja u podmirivanju obveza, uslugama platnog prometa</w:t>
      </w:r>
      <w:r w:rsidR="00C078DF" w:rsidRPr="009D635F">
        <w:rPr>
          <w:rFonts w:ascii="Times New Roman" w:eastAsia="Times New Roman" w:hAnsi="Times New Roman" w:cs="Times New Roman"/>
          <w:sz w:val="24"/>
          <w:szCs w:val="24"/>
          <w:lang w:eastAsia="hr-HR"/>
        </w:rPr>
        <w:t xml:space="preserve"> (što se financira iz izvora 43)</w:t>
      </w:r>
      <w:r w:rsidRPr="009D635F">
        <w:rPr>
          <w:rFonts w:ascii="Times New Roman" w:eastAsia="Times New Roman" w:hAnsi="Times New Roman" w:cs="Times New Roman"/>
          <w:sz w:val="24"/>
          <w:szCs w:val="24"/>
          <w:lang w:eastAsia="hr-HR"/>
        </w:rPr>
        <w:t>.</w:t>
      </w:r>
    </w:p>
    <w:p w:rsidR="00CE19EE" w:rsidRPr="009D635F" w:rsidRDefault="00CE19EE" w:rsidP="00116F29">
      <w:pPr>
        <w:spacing w:after="120"/>
        <w:ind w:firstLine="284"/>
        <w:jc w:val="both"/>
        <w:rPr>
          <w:rFonts w:ascii="Times New Roman" w:eastAsia="Times New Roman" w:hAnsi="Times New Roman" w:cs="Times New Roman"/>
          <w:sz w:val="24"/>
          <w:szCs w:val="24"/>
          <w:lang w:eastAsia="hr-HR"/>
        </w:rPr>
      </w:pPr>
      <w:r w:rsidRPr="009D635F">
        <w:rPr>
          <w:rFonts w:ascii="Times New Roman" w:eastAsia="Times New Roman" w:hAnsi="Times New Roman" w:cs="Times New Roman"/>
          <w:sz w:val="24"/>
          <w:szCs w:val="24"/>
          <w:lang w:eastAsia="hr-HR"/>
        </w:rPr>
        <w:t>Naknade građanima i kućanstvima</w:t>
      </w:r>
      <w:r w:rsidR="00C078DF" w:rsidRPr="009D635F">
        <w:rPr>
          <w:rFonts w:ascii="Times New Roman" w:eastAsia="Times New Roman" w:hAnsi="Times New Roman" w:cs="Times New Roman"/>
          <w:sz w:val="24"/>
          <w:szCs w:val="24"/>
          <w:lang w:eastAsia="hr-HR"/>
        </w:rPr>
        <w:t xml:space="preserve"> </w:t>
      </w:r>
      <w:r w:rsidR="00AB2406" w:rsidRPr="009D635F">
        <w:rPr>
          <w:rFonts w:ascii="Times New Roman" w:eastAsia="Times New Roman" w:hAnsi="Times New Roman" w:cs="Times New Roman"/>
          <w:sz w:val="24"/>
          <w:szCs w:val="24"/>
          <w:lang w:eastAsia="hr-HR"/>
        </w:rPr>
        <w:t>planirane</w:t>
      </w:r>
      <w:r w:rsidR="00C078DF" w:rsidRPr="009D635F">
        <w:rPr>
          <w:rFonts w:ascii="Times New Roman" w:eastAsia="Times New Roman" w:hAnsi="Times New Roman" w:cs="Times New Roman"/>
          <w:sz w:val="24"/>
          <w:szCs w:val="24"/>
          <w:lang w:eastAsia="hr-HR"/>
        </w:rPr>
        <w:t xml:space="preserve"> su</w:t>
      </w:r>
      <w:r w:rsidR="00AB2406" w:rsidRPr="009D635F">
        <w:rPr>
          <w:rFonts w:ascii="Times New Roman" w:eastAsia="Times New Roman" w:hAnsi="Times New Roman" w:cs="Times New Roman"/>
          <w:sz w:val="24"/>
          <w:szCs w:val="24"/>
          <w:lang w:eastAsia="hr-HR"/>
        </w:rPr>
        <w:t xml:space="preserve"> </w:t>
      </w:r>
      <w:r w:rsidR="00C078DF" w:rsidRPr="009D635F">
        <w:rPr>
          <w:rFonts w:ascii="Times New Roman" w:eastAsia="Times New Roman" w:hAnsi="Times New Roman" w:cs="Times New Roman"/>
          <w:sz w:val="24"/>
          <w:szCs w:val="24"/>
          <w:lang w:eastAsia="hr-HR"/>
        </w:rPr>
        <w:t>u iznosu od 3.</w:t>
      </w:r>
      <w:r w:rsidRPr="009D635F">
        <w:rPr>
          <w:rFonts w:ascii="Times New Roman" w:eastAsia="Times New Roman" w:hAnsi="Times New Roman" w:cs="Times New Roman"/>
          <w:sz w:val="24"/>
          <w:szCs w:val="24"/>
          <w:lang w:eastAsia="hr-HR"/>
        </w:rPr>
        <w:t>5</w:t>
      </w:r>
      <w:r w:rsidR="009D635F" w:rsidRPr="009D635F">
        <w:rPr>
          <w:rFonts w:ascii="Times New Roman" w:eastAsia="Times New Roman" w:hAnsi="Times New Roman" w:cs="Times New Roman"/>
          <w:sz w:val="24"/>
          <w:szCs w:val="24"/>
          <w:lang w:eastAsia="hr-HR"/>
        </w:rPr>
        <w:t>00,00 EUR, iznos također ostaje isti</w:t>
      </w:r>
      <w:r w:rsidRPr="009D635F">
        <w:rPr>
          <w:rFonts w:ascii="Times New Roman" w:eastAsia="Times New Roman" w:hAnsi="Times New Roman" w:cs="Times New Roman"/>
          <w:sz w:val="24"/>
          <w:szCs w:val="24"/>
          <w:lang w:eastAsia="hr-HR"/>
        </w:rPr>
        <w:t>,</w:t>
      </w:r>
      <w:r w:rsidR="00C078DF" w:rsidRPr="009D635F">
        <w:rPr>
          <w:rFonts w:ascii="Times New Roman" w:eastAsia="Times New Roman" w:hAnsi="Times New Roman" w:cs="Times New Roman"/>
          <w:sz w:val="24"/>
          <w:szCs w:val="24"/>
          <w:lang w:eastAsia="hr-HR"/>
        </w:rPr>
        <w:t xml:space="preserve"> financiraju se iz izvora 43,</w:t>
      </w:r>
      <w:r w:rsidRPr="009D635F">
        <w:rPr>
          <w:rFonts w:ascii="Times New Roman" w:eastAsia="Times New Roman" w:hAnsi="Times New Roman" w:cs="Times New Roman"/>
          <w:sz w:val="24"/>
          <w:szCs w:val="24"/>
          <w:lang w:eastAsia="hr-HR"/>
        </w:rPr>
        <w:t xml:space="preserve"> a odnose se na džeparac korisnika i kulturne potrebe korisnika.</w:t>
      </w:r>
    </w:p>
    <w:p w:rsidR="001C5B5C" w:rsidRPr="009D635F" w:rsidRDefault="001C5B5C" w:rsidP="00116F29">
      <w:pPr>
        <w:spacing w:after="120"/>
        <w:ind w:firstLine="284"/>
        <w:jc w:val="both"/>
        <w:rPr>
          <w:rFonts w:ascii="Times New Roman" w:eastAsia="Times New Roman" w:hAnsi="Times New Roman" w:cs="Times New Roman"/>
          <w:sz w:val="24"/>
          <w:szCs w:val="24"/>
          <w:lang w:eastAsia="hr-HR"/>
        </w:rPr>
      </w:pPr>
      <w:r w:rsidRPr="009D635F">
        <w:rPr>
          <w:rFonts w:ascii="Times New Roman" w:eastAsia="Times New Roman" w:hAnsi="Times New Roman" w:cs="Times New Roman"/>
          <w:sz w:val="24"/>
          <w:szCs w:val="24"/>
          <w:u w:val="single"/>
          <w:lang w:eastAsia="hr-HR"/>
        </w:rPr>
        <w:t>Rashodi za nabavu nefinancijske imovine</w:t>
      </w:r>
      <w:r w:rsidRPr="009D635F">
        <w:rPr>
          <w:rFonts w:ascii="Times New Roman" w:eastAsia="Times New Roman" w:hAnsi="Times New Roman" w:cs="Times New Roman"/>
          <w:sz w:val="24"/>
          <w:szCs w:val="24"/>
          <w:lang w:eastAsia="hr-HR"/>
        </w:rPr>
        <w:t xml:space="preserve"> </w:t>
      </w:r>
      <w:r w:rsidR="009D635F" w:rsidRPr="009D635F">
        <w:rPr>
          <w:rFonts w:ascii="Times New Roman" w:eastAsia="Times New Roman" w:hAnsi="Times New Roman" w:cs="Times New Roman"/>
          <w:sz w:val="24"/>
          <w:szCs w:val="24"/>
          <w:lang w:eastAsia="hr-HR"/>
        </w:rPr>
        <w:t xml:space="preserve">prvotno su </w:t>
      </w:r>
      <w:r w:rsidR="00E67792" w:rsidRPr="009D635F">
        <w:rPr>
          <w:rFonts w:ascii="Times New Roman" w:eastAsia="Times New Roman" w:hAnsi="Times New Roman" w:cs="Times New Roman"/>
          <w:sz w:val="24"/>
          <w:szCs w:val="24"/>
          <w:lang w:eastAsia="hr-HR"/>
        </w:rPr>
        <w:t>planirani</w:t>
      </w:r>
      <w:r w:rsidR="009D635F" w:rsidRPr="009D635F">
        <w:rPr>
          <w:rFonts w:ascii="Times New Roman" w:eastAsia="Times New Roman" w:hAnsi="Times New Roman" w:cs="Times New Roman"/>
          <w:sz w:val="24"/>
          <w:szCs w:val="24"/>
          <w:lang w:eastAsia="hr-HR"/>
        </w:rPr>
        <w:t xml:space="preserve"> </w:t>
      </w:r>
      <w:r w:rsidR="00C078DF" w:rsidRPr="009D635F">
        <w:rPr>
          <w:rFonts w:ascii="Times New Roman" w:eastAsia="Times New Roman" w:hAnsi="Times New Roman" w:cs="Times New Roman"/>
          <w:sz w:val="24"/>
          <w:szCs w:val="24"/>
          <w:lang w:eastAsia="hr-HR"/>
        </w:rPr>
        <w:t>u ukupnom iznosu od 35.454,00 EUR</w:t>
      </w:r>
      <w:r w:rsidR="005A7223" w:rsidRPr="009D635F">
        <w:rPr>
          <w:rFonts w:ascii="Times New Roman" w:eastAsia="Times New Roman" w:hAnsi="Times New Roman" w:cs="Times New Roman"/>
          <w:sz w:val="24"/>
          <w:szCs w:val="24"/>
          <w:lang w:eastAsia="hr-HR"/>
        </w:rPr>
        <w:t>. P</w:t>
      </w:r>
      <w:r w:rsidRPr="009D635F">
        <w:rPr>
          <w:rFonts w:ascii="Times New Roman" w:eastAsia="Times New Roman" w:hAnsi="Times New Roman" w:cs="Times New Roman"/>
          <w:sz w:val="24"/>
          <w:szCs w:val="24"/>
          <w:lang w:eastAsia="hr-HR"/>
        </w:rPr>
        <w:t>rema izvorima financiranja</w:t>
      </w:r>
      <w:r w:rsidR="009D635F" w:rsidRPr="009D635F">
        <w:rPr>
          <w:rFonts w:ascii="Times New Roman" w:eastAsia="Times New Roman" w:hAnsi="Times New Roman" w:cs="Times New Roman"/>
          <w:sz w:val="24"/>
          <w:szCs w:val="24"/>
          <w:lang w:eastAsia="hr-HR"/>
        </w:rPr>
        <w:t xml:space="preserve"> predviđeno je da bi se financirali </w:t>
      </w:r>
      <w:r w:rsidRPr="009D635F">
        <w:rPr>
          <w:rFonts w:ascii="Times New Roman" w:eastAsia="Times New Roman" w:hAnsi="Times New Roman" w:cs="Times New Roman"/>
          <w:sz w:val="24"/>
          <w:szCs w:val="24"/>
          <w:lang w:eastAsia="hr-HR"/>
        </w:rPr>
        <w:t xml:space="preserve">iz izvora 31 u iznosu od </w:t>
      </w:r>
      <w:r w:rsidR="00C078DF" w:rsidRPr="009D635F">
        <w:rPr>
          <w:rFonts w:ascii="Times New Roman" w:eastAsia="Times New Roman" w:hAnsi="Times New Roman" w:cs="Times New Roman"/>
          <w:sz w:val="24"/>
          <w:szCs w:val="24"/>
          <w:lang w:eastAsia="hr-HR"/>
        </w:rPr>
        <w:t>18.200,00 EUR i</w:t>
      </w:r>
      <w:r w:rsidR="00A542E5" w:rsidRPr="009D635F">
        <w:rPr>
          <w:rFonts w:ascii="Times New Roman" w:eastAsia="Times New Roman" w:hAnsi="Times New Roman" w:cs="Times New Roman"/>
          <w:sz w:val="24"/>
          <w:szCs w:val="24"/>
          <w:lang w:eastAsia="hr-HR"/>
        </w:rPr>
        <w:t xml:space="preserve"> iz</w:t>
      </w:r>
      <w:r w:rsidRPr="009D635F">
        <w:rPr>
          <w:rFonts w:ascii="Times New Roman" w:eastAsia="Times New Roman" w:hAnsi="Times New Roman" w:cs="Times New Roman"/>
          <w:sz w:val="24"/>
          <w:szCs w:val="24"/>
          <w:lang w:eastAsia="hr-HR"/>
        </w:rPr>
        <w:t xml:space="preserve"> izvora 44 u iznosu od 17.254,00 EUR.</w:t>
      </w:r>
      <w:r w:rsidR="009D635F" w:rsidRPr="009D635F">
        <w:rPr>
          <w:rFonts w:ascii="Times New Roman" w:eastAsia="Times New Roman" w:hAnsi="Times New Roman" w:cs="Times New Roman"/>
          <w:sz w:val="24"/>
          <w:szCs w:val="24"/>
          <w:lang w:eastAsia="hr-HR"/>
        </w:rPr>
        <w:t xml:space="preserve"> I. Izmjenama i dopunama Financijskog plana za 2024. godinu navedeni rashodi povećani su za 165.945,00 EUR. Iznos od 165.000,00 EUR odnosi se na prije spomenutu promjenu razreda kod planiranja pozicije za ugradnju vatrodojavnog sustava, a iznos od 945,00 EUR odnosi se na kapitalne donacije.</w:t>
      </w:r>
    </w:p>
    <w:p w:rsidR="001C5B5C" w:rsidRPr="009D635F" w:rsidRDefault="00D947FA" w:rsidP="00D947FA">
      <w:pPr>
        <w:spacing w:after="120"/>
        <w:ind w:firstLine="284"/>
        <w:jc w:val="both"/>
        <w:rPr>
          <w:rFonts w:ascii="Times New Roman" w:eastAsia="Times New Roman" w:hAnsi="Times New Roman" w:cs="Times New Roman"/>
          <w:sz w:val="24"/>
          <w:szCs w:val="24"/>
          <w:lang w:eastAsia="hr-HR"/>
        </w:rPr>
      </w:pPr>
      <w:r w:rsidRPr="009D635F">
        <w:rPr>
          <w:rFonts w:ascii="Times New Roman" w:hAnsi="Times New Roman" w:cs="Times New Roman"/>
          <w:sz w:val="24"/>
          <w:szCs w:val="24"/>
        </w:rPr>
        <w:t>I</w:t>
      </w:r>
      <w:r w:rsidR="001C5B5C" w:rsidRPr="009D635F">
        <w:rPr>
          <w:rFonts w:ascii="Times New Roman" w:eastAsia="Times New Roman" w:hAnsi="Times New Roman" w:cs="Times New Roman"/>
          <w:sz w:val="24"/>
          <w:szCs w:val="24"/>
          <w:lang w:eastAsia="hr-HR"/>
        </w:rPr>
        <w:t>zdaci za otplatu glavnice primljenih kredita</w:t>
      </w:r>
      <w:r w:rsidRPr="009D635F">
        <w:rPr>
          <w:rFonts w:ascii="Times New Roman" w:eastAsia="Times New Roman" w:hAnsi="Times New Roman" w:cs="Times New Roman"/>
          <w:sz w:val="24"/>
          <w:szCs w:val="24"/>
          <w:lang w:eastAsia="hr-HR"/>
        </w:rPr>
        <w:t xml:space="preserve"> planirani su u iznosu od 107.867,00 EUR</w:t>
      </w:r>
      <w:r w:rsidR="009D635F" w:rsidRPr="009D635F">
        <w:rPr>
          <w:rFonts w:ascii="Times New Roman" w:eastAsia="Times New Roman" w:hAnsi="Times New Roman" w:cs="Times New Roman"/>
          <w:sz w:val="24"/>
          <w:szCs w:val="24"/>
          <w:lang w:eastAsia="hr-HR"/>
        </w:rPr>
        <w:t xml:space="preserve"> i oni ostaju nepromijenjeni</w:t>
      </w:r>
      <w:r w:rsidRPr="009D635F">
        <w:rPr>
          <w:rFonts w:ascii="Times New Roman" w:eastAsia="Times New Roman" w:hAnsi="Times New Roman" w:cs="Times New Roman"/>
          <w:sz w:val="24"/>
          <w:szCs w:val="24"/>
          <w:lang w:eastAsia="hr-HR"/>
        </w:rPr>
        <w:t xml:space="preserve">. </w:t>
      </w:r>
      <w:r w:rsidR="001C5B5C" w:rsidRPr="009D635F">
        <w:rPr>
          <w:rFonts w:ascii="Times New Roman" w:eastAsia="Times New Roman" w:hAnsi="Times New Roman" w:cs="Times New Roman"/>
          <w:sz w:val="24"/>
          <w:szCs w:val="24"/>
          <w:lang w:eastAsia="hr-HR"/>
        </w:rPr>
        <w:t xml:space="preserve">Od ukupnog iznosa, </w:t>
      </w:r>
      <w:r w:rsidR="005B3C48" w:rsidRPr="009D635F">
        <w:rPr>
          <w:rFonts w:ascii="Times New Roman" w:eastAsia="Times New Roman" w:hAnsi="Times New Roman" w:cs="Times New Roman"/>
          <w:sz w:val="24"/>
          <w:szCs w:val="24"/>
          <w:lang w:eastAsia="hr-HR"/>
        </w:rPr>
        <w:t>82.743</w:t>
      </w:r>
      <w:r w:rsidR="001C5B5C" w:rsidRPr="009D635F">
        <w:rPr>
          <w:rFonts w:ascii="Times New Roman" w:eastAsia="Times New Roman" w:hAnsi="Times New Roman" w:cs="Times New Roman"/>
          <w:sz w:val="24"/>
          <w:szCs w:val="24"/>
          <w:lang w:eastAsia="hr-HR"/>
        </w:rPr>
        <w:t xml:space="preserve">,00 EUR odnosi se na otplatu glavnice primljenog kredita od Hrvatske banke za obnovu i razvitak (HBOR), a </w:t>
      </w:r>
      <w:r w:rsidR="005B3C48" w:rsidRPr="009D635F">
        <w:rPr>
          <w:rFonts w:ascii="Times New Roman" w:eastAsia="Times New Roman" w:hAnsi="Times New Roman" w:cs="Times New Roman"/>
          <w:sz w:val="24"/>
          <w:szCs w:val="24"/>
          <w:lang w:eastAsia="hr-HR"/>
        </w:rPr>
        <w:t>25.124</w:t>
      </w:r>
      <w:r w:rsidR="001C5B5C" w:rsidRPr="009D635F">
        <w:rPr>
          <w:rFonts w:ascii="Times New Roman" w:eastAsia="Times New Roman" w:hAnsi="Times New Roman" w:cs="Times New Roman"/>
          <w:sz w:val="24"/>
          <w:szCs w:val="24"/>
          <w:lang w:eastAsia="hr-HR"/>
        </w:rPr>
        <w:t>,00 EUR se odnosi na otplatu glavnice primljenog kredita od Zagrebačke banke.</w:t>
      </w:r>
      <w:r w:rsidRPr="009D635F">
        <w:rPr>
          <w:rFonts w:ascii="Times New Roman" w:eastAsia="Times New Roman" w:hAnsi="Times New Roman" w:cs="Times New Roman"/>
          <w:sz w:val="24"/>
          <w:szCs w:val="24"/>
          <w:lang w:eastAsia="hr-HR"/>
        </w:rPr>
        <w:t xml:space="preserve"> Navedeni izdaci financiraju se iz izvora 11 (opći prihodi i primici), odnosno iz Proračuna Varaždinske županije.</w:t>
      </w:r>
    </w:p>
    <w:p w:rsidR="001C5B5C" w:rsidRDefault="001C5B5C" w:rsidP="00250C44">
      <w:pPr>
        <w:spacing w:after="120"/>
        <w:ind w:firstLine="284"/>
        <w:jc w:val="both"/>
        <w:rPr>
          <w:rFonts w:ascii="Times New Roman" w:hAnsi="Times New Roman" w:cs="Times New Roman"/>
          <w:sz w:val="24"/>
          <w:szCs w:val="24"/>
        </w:rPr>
      </w:pPr>
    </w:p>
    <w:p w:rsidR="00367E7E" w:rsidRPr="00A464D5" w:rsidRDefault="00367E7E" w:rsidP="00367E7E">
      <w:pPr>
        <w:pStyle w:val="Odlomakpopisa"/>
        <w:numPr>
          <w:ilvl w:val="0"/>
          <w:numId w:val="16"/>
        </w:numPr>
        <w:spacing w:after="240"/>
        <w:ind w:left="284" w:hanging="284"/>
        <w:jc w:val="both"/>
        <w:rPr>
          <w:rFonts w:ascii="Times New Roman" w:hAnsi="Times New Roman" w:cs="Times New Roman"/>
          <w:b/>
          <w:i/>
          <w:sz w:val="24"/>
          <w:szCs w:val="24"/>
          <w:u w:val="single"/>
        </w:rPr>
      </w:pPr>
      <w:r w:rsidRPr="00A464D5">
        <w:rPr>
          <w:rFonts w:ascii="Times New Roman" w:hAnsi="Times New Roman" w:cs="Times New Roman"/>
          <w:b/>
          <w:i/>
          <w:sz w:val="24"/>
          <w:szCs w:val="24"/>
          <w:u w:val="single"/>
        </w:rPr>
        <w:t>PRIJENOS SREDSTAVA IZ PRETHODNE I U SLJEDEĆU GODINU</w:t>
      </w:r>
    </w:p>
    <w:p w:rsidR="00427499" w:rsidRPr="00677A39" w:rsidRDefault="00427499" w:rsidP="00A464D5">
      <w:pPr>
        <w:spacing w:after="0"/>
        <w:ind w:firstLine="284"/>
        <w:jc w:val="both"/>
        <w:rPr>
          <w:rFonts w:ascii="Times New Roman" w:hAnsi="Times New Roman" w:cs="Times New Roman"/>
          <w:sz w:val="24"/>
          <w:szCs w:val="24"/>
        </w:rPr>
      </w:pPr>
      <w:r w:rsidRPr="00677A39">
        <w:rPr>
          <w:rFonts w:ascii="Times New Roman" w:hAnsi="Times New Roman" w:cs="Times New Roman"/>
          <w:sz w:val="24"/>
          <w:szCs w:val="24"/>
        </w:rPr>
        <w:t xml:space="preserve">U Financijskom planu za 2024. godinu predviđeno je da će u 2023. godini biti ostvaren manjak u iznosu od 20.000,00 EUR. Dom je u 2023. godini ostvario manjak u iznosu od </w:t>
      </w:r>
      <w:r w:rsidR="00677A39" w:rsidRPr="00863076">
        <w:rPr>
          <w:rFonts w:ascii="Times New Roman" w:hAnsi="Times New Roman" w:cs="Times New Roman"/>
          <w:sz w:val="24"/>
          <w:szCs w:val="24"/>
        </w:rPr>
        <w:t xml:space="preserve">16.348,18 EUR </w:t>
      </w:r>
      <w:r w:rsidR="00677A39" w:rsidRPr="00677A39">
        <w:rPr>
          <w:rFonts w:ascii="Times New Roman" w:hAnsi="Times New Roman" w:cs="Times New Roman"/>
          <w:sz w:val="24"/>
          <w:szCs w:val="24"/>
        </w:rPr>
        <w:t>koji je prenesen u 2024. godinu.</w:t>
      </w:r>
    </w:p>
    <w:p w:rsidR="00A464D5" w:rsidRPr="004A4B2A" w:rsidRDefault="00A464D5" w:rsidP="00A464D5">
      <w:pPr>
        <w:spacing w:after="240"/>
        <w:ind w:firstLine="284"/>
        <w:jc w:val="both"/>
        <w:rPr>
          <w:rFonts w:ascii="Times New Roman" w:hAnsi="Times New Roman" w:cs="Times New Roman"/>
          <w:color w:val="FF0000"/>
          <w:sz w:val="24"/>
          <w:szCs w:val="24"/>
        </w:rPr>
      </w:pPr>
    </w:p>
    <w:p w:rsidR="00367E7E" w:rsidRPr="00DF6EE8" w:rsidRDefault="00367E7E" w:rsidP="00367E7E">
      <w:pPr>
        <w:pStyle w:val="Odlomakpopisa"/>
        <w:numPr>
          <w:ilvl w:val="0"/>
          <w:numId w:val="16"/>
        </w:numPr>
        <w:spacing w:after="240"/>
        <w:ind w:left="284" w:hanging="284"/>
        <w:jc w:val="both"/>
        <w:rPr>
          <w:rFonts w:ascii="Times New Roman" w:hAnsi="Times New Roman" w:cs="Times New Roman"/>
          <w:b/>
          <w:i/>
          <w:sz w:val="24"/>
          <w:szCs w:val="24"/>
          <w:u w:val="single"/>
        </w:rPr>
      </w:pPr>
      <w:r>
        <w:rPr>
          <w:rFonts w:ascii="Times New Roman" w:hAnsi="Times New Roman" w:cs="Times New Roman"/>
          <w:b/>
          <w:i/>
          <w:sz w:val="24"/>
          <w:szCs w:val="24"/>
          <w:u w:val="single"/>
        </w:rPr>
        <w:t>UKUPNE I DOSPJELE OBVEZE</w:t>
      </w:r>
    </w:p>
    <w:p w:rsidR="00342C85" w:rsidRPr="00C2415C" w:rsidRDefault="00C2415C" w:rsidP="00164003">
      <w:pPr>
        <w:spacing w:after="240"/>
        <w:ind w:firstLine="284"/>
        <w:jc w:val="both"/>
        <w:rPr>
          <w:rFonts w:ascii="Times New Roman" w:hAnsi="Times New Roman" w:cs="Times New Roman"/>
          <w:sz w:val="24"/>
          <w:szCs w:val="24"/>
        </w:rPr>
      </w:pPr>
      <w:r w:rsidRPr="00C2415C">
        <w:rPr>
          <w:rFonts w:ascii="Times New Roman" w:hAnsi="Times New Roman" w:cs="Times New Roman"/>
          <w:sz w:val="24"/>
          <w:szCs w:val="24"/>
        </w:rPr>
        <w:t xml:space="preserve">Stanje ukupnih </w:t>
      </w:r>
      <w:r w:rsidR="00367E7E" w:rsidRPr="00C2415C">
        <w:rPr>
          <w:rFonts w:ascii="Times New Roman" w:hAnsi="Times New Roman" w:cs="Times New Roman"/>
          <w:sz w:val="24"/>
          <w:szCs w:val="24"/>
        </w:rPr>
        <w:t>obve</w:t>
      </w:r>
      <w:r w:rsidR="00D811FF">
        <w:rPr>
          <w:rFonts w:ascii="Times New Roman" w:hAnsi="Times New Roman" w:cs="Times New Roman"/>
          <w:sz w:val="24"/>
          <w:szCs w:val="24"/>
        </w:rPr>
        <w:t>za na dan 30. lipnja 2024</w:t>
      </w:r>
      <w:r w:rsidRPr="00C2415C">
        <w:rPr>
          <w:rFonts w:ascii="Times New Roman" w:hAnsi="Times New Roman" w:cs="Times New Roman"/>
          <w:sz w:val="24"/>
          <w:szCs w:val="24"/>
        </w:rPr>
        <w:t>.</w:t>
      </w:r>
      <w:r w:rsidR="00367E7E" w:rsidRPr="00C2415C">
        <w:rPr>
          <w:rFonts w:ascii="Times New Roman" w:hAnsi="Times New Roman" w:cs="Times New Roman"/>
          <w:sz w:val="24"/>
          <w:szCs w:val="24"/>
        </w:rPr>
        <w:t xml:space="preserve"> godin</w:t>
      </w:r>
      <w:r w:rsidR="00D811FF">
        <w:rPr>
          <w:rFonts w:ascii="Times New Roman" w:hAnsi="Times New Roman" w:cs="Times New Roman"/>
          <w:sz w:val="24"/>
          <w:szCs w:val="24"/>
        </w:rPr>
        <w:t>e iznosi 1.519.525,51 EUR, od čega dospjele obveze iznose 133.200,87 EUR, a nedospjele 1.386.324,64 EUR.</w:t>
      </w:r>
    </w:p>
    <w:p w:rsidR="00D50432" w:rsidRDefault="00D50432" w:rsidP="00164003">
      <w:pPr>
        <w:spacing w:after="120"/>
        <w:jc w:val="center"/>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9F1865">
      <w:pPr>
        <w:spacing w:after="120"/>
        <w:rPr>
          <w:rFonts w:ascii="Times New Roman" w:hAnsi="Times New Roman" w:cs="Times New Roman"/>
          <w:b/>
          <w:sz w:val="48"/>
          <w:szCs w:val="48"/>
        </w:rPr>
      </w:pPr>
    </w:p>
    <w:p w:rsidR="00827599" w:rsidRDefault="00827599" w:rsidP="00D50432">
      <w:pPr>
        <w:spacing w:after="120"/>
        <w:jc w:val="center"/>
        <w:rPr>
          <w:rFonts w:ascii="Times New Roman" w:hAnsi="Times New Roman" w:cs="Times New Roman"/>
          <w:b/>
          <w:sz w:val="48"/>
          <w:szCs w:val="48"/>
        </w:rPr>
      </w:pPr>
    </w:p>
    <w:p w:rsidR="00D53705" w:rsidRDefault="00D53705" w:rsidP="00D50432">
      <w:pPr>
        <w:spacing w:after="120"/>
        <w:jc w:val="center"/>
        <w:rPr>
          <w:rFonts w:ascii="Times New Roman" w:hAnsi="Times New Roman" w:cs="Times New Roman"/>
          <w:b/>
          <w:sz w:val="48"/>
          <w:szCs w:val="48"/>
        </w:rPr>
      </w:pPr>
    </w:p>
    <w:p w:rsidR="000A7C75" w:rsidRDefault="000A7C75" w:rsidP="00D50432">
      <w:pPr>
        <w:spacing w:after="120"/>
        <w:jc w:val="center"/>
        <w:rPr>
          <w:rFonts w:ascii="Times New Roman" w:hAnsi="Times New Roman" w:cs="Times New Roman"/>
          <w:b/>
          <w:sz w:val="48"/>
          <w:szCs w:val="48"/>
        </w:rPr>
      </w:pPr>
    </w:p>
    <w:p w:rsidR="001C3DC5" w:rsidRDefault="001C3DC5" w:rsidP="00613ECF">
      <w:pPr>
        <w:spacing w:after="120"/>
        <w:rPr>
          <w:rFonts w:ascii="Times New Roman" w:hAnsi="Times New Roman" w:cs="Times New Roman"/>
          <w:b/>
          <w:sz w:val="48"/>
          <w:szCs w:val="48"/>
        </w:rPr>
      </w:pPr>
    </w:p>
    <w:p w:rsidR="00E04AB9" w:rsidRDefault="00D50432" w:rsidP="004A4B2A">
      <w:pPr>
        <w:spacing w:after="120"/>
        <w:jc w:val="center"/>
        <w:rPr>
          <w:rFonts w:ascii="Times New Roman" w:hAnsi="Times New Roman" w:cs="Times New Roman"/>
          <w:b/>
          <w:sz w:val="48"/>
          <w:szCs w:val="48"/>
        </w:rPr>
      </w:pPr>
      <w:r w:rsidRPr="00FB4269">
        <w:rPr>
          <w:rFonts w:ascii="Times New Roman" w:hAnsi="Times New Roman" w:cs="Times New Roman"/>
          <w:b/>
          <w:sz w:val="48"/>
          <w:szCs w:val="48"/>
        </w:rPr>
        <w:t>OBRAZLOŽENJE</w:t>
      </w:r>
      <w:r>
        <w:rPr>
          <w:rFonts w:ascii="Times New Roman" w:hAnsi="Times New Roman" w:cs="Times New Roman"/>
          <w:b/>
          <w:sz w:val="48"/>
          <w:szCs w:val="48"/>
        </w:rPr>
        <w:t xml:space="preserve"> POSEBNOG</w:t>
      </w:r>
      <w:r w:rsidRPr="00FB4269">
        <w:rPr>
          <w:rFonts w:ascii="Times New Roman" w:hAnsi="Times New Roman" w:cs="Times New Roman"/>
          <w:b/>
          <w:sz w:val="48"/>
          <w:szCs w:val="48"/>
        </w:rPr>
        <w:t xml:space="preserve"> DIJELA</w:t>
      </w:r>
    </w:p>
    <w:p w:rsidR="004A4B2A" w:rsidRPr="004A4B2A" w:rsidRDefault="004A4B2A" w:rsidP="004A4B2A">
      <w:pPr>
        <w:pStyle w:val="Odlomakpopisa"/>
        <w:numPr>
          <w:ilvl w:val="0"/>
          <w:numId w:val="24"/>
        </w:numPr>
        <w:spacing w:after="120"/>
        <w:ind w:left="0" w:firstLine="0"/>
        <w:contextualSpacing w:val="0"/>
        <w:jc w:val="center"/>
        <w:rPr>
          <w:rFonts w:ascii="Times New Roman" w:hAnsi="Times New Roman" w:cs="Times New Roman"/>
          <w:b/>
          <w:sz w:val="48"/>
          <w:szCs w:val="48"/>
        </w:rPr>
      </w:pPr>
      <w:r>
        <w:rPr>
          <w:rFonts w:ascii="Times New Roman" w:hAnsi="Times New Roman" w:cs="Times New Roman"/>
          <w:b/>
          <w:sz w:val="48"/>
          <w:szCs w:val="48"/>
        </w:rPr>
        <w:t>IZMJENA I DOPUNA</w:t>
      </w:r>
    </w:p>
    <w:p w:rsidR="00D50432" w:rsidRDefault="00D50432" w:rsidP="004A4B2A">
      <w:pPr>
        <w:spacing w:after="120"/>
        <w:jc w:val="center"/>
        <w:rPr>
          <w:rFonts w:ascii="Times New Roman" w:hAnsi="Times New Roman" w:cs="Times New Roman"/>
          <w:b/>
          <w:sz w:val="48"/>
          <w:szCs w:val="48"/>
        </w:rPr>
      </w:pPr>
      <w:r w:rsidRPr="00FB4269">
        <w:rPr>
          <w:rFonts w:ascii="Times New Roman" w:hAnsi="Times New Roman" w:cs="Times New Roman"/>
          <w:b/>
          <w:sz w:val="48"/>
          <w:szCs w:val="48"/>
        </w:rPr>
        <w:t xml:space="preserve"> FINANCIJSKOG PLANA</w:t>
      </w:r>
    </w:p>
    <w:p w:rsidR="00D50432" w:rsidRDefault="00154A67" w:rsidP="004A4B2A">
      <w:pPr>
        <w:spacing w:after="120"/>
        <w:jc w:val="center"/>
        <w:rPr>
          <w:rFonts w:ascii="Times New Roman" w:hAnsi="Times New Roman" w:cs="Times New Roman"/>
          <w:b/>
          <w:sz w:val="48"/>
          <w:szCs w:val="48"/>
        </w:rPr>
      </w:pPr>
      <w:r>
        <w:rPr>
          <w:rFonts w:ascii="Times New Roman" w:hAnsi="Times New Roman" w:cs="Times New Roman"/>
          <w:b/>
          <w:sz w:val="48"/>
          <w:szCs w:val="48"/>
        </w:rPr>
        <w:t xml:space="preserve">DOMA ZA STARIJE I NEMOĆNE </w:t>
      </w:r>
      <w:r w:rsidR="00720FB4">
        <w:rPr>
          <w:rFonts w:ascii="Times New Roman" w:hAnsi="Times New Roman" w:cs="Times New Roman"/>
          <w:b/>
          <w:sz w:val="48"/>
          <w:szCs w:val="48"/>
        </w:rPr>
        <w:t>OSOBE VARAŽDIN ZA 2024</w:t>
      </w:r>
      <w:r w:rsidR="00D50432" w:rsidRPr="00FB4269">
        <w:rPr>
          <w:rFonts w:ascii="Times New Roman" w:hAnsi="Times New Roman" w:cs="Times New Roman"/>
          <w:b/>
          <w:sz w:val="48"/>
          <w:szCs w:val="48"/>
        </w:rPr>
        <w:t>. GODINU</w:t>
      </w:r>
    </w:p>
    <w:p w:rsidR="00D50432" w:rsidRPr="00FB4269" w:rsidRDefault="00D50432" w:rsidP="00E04AB9">
      <w:pPr>
        <w:spacing w:after="120"/>
        <w:jc w:val="center"/>
        <w:rPr>
          <w:rFonts w:ascii="Times New Roman" w:hAnsi="Times New Roman" w:cs="Times New Roman"/>
          <w:b/>
          <w:sz w:val="48"/>
          <w:szCs w:val="48"/>
        </w:rPr>
      </w:pPr>
      <w:r w:rsidRPr="00FB4269">
        <w:rPr>
          <w:rFonts w:ascii="Times New Roman" w:hAnsi="Times New Roman" w:cs="Times New Roman"/>
          <w:b/>
          <w:sz w:val="48"/>
          <w:szCs w:val="48"/>
        </w:rPr>
        <w:t xml:space="preserve"> </w:t>
      </w:r>
    </w:p>
    <w:p w:rsidR="00D50432" w:rsidRDefault="00D5043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8C16E3" w:rsidRDefault="008C16E3" w:rsidP="00250C44">
      <w:pPr>
        <w:spacing w:after="120"/>
        <w:ind w:firstLine="284"/>
        <w:jc w:val="both"/>
        <w:rPr>
          <w:rFonts w:ascii="Times New Roman" w:hAnsi="Times New Roman" w:cs="Times New Roman"/>
          <w:sz w:val="24"/>
          <w:szCs w:val="24"/>
        </w:rPr>
      </w:pPr>
    </w:p>
    <w:p w:rsidR="008C16E3" w:rsidRDefault="008C16E3" w:rsidP="00250C44">
      <w:pPr>
        <w:spacing w:after="120"/>
        <w:ind w:firstLine="284"/>
        <w:jc w:val="both"/>
        <w:rPr>
          <w:rFonts w:ascii="Times New Roman" w:hAnsi="Times New Roman" w:cs="Times New Roman"/>
          <w:sz w:val="24"/>
          <w:szCs w:val="24"/>
        </w:rPr>
      </w:pPr>
    </w:p>
    <w:p w:rsidR="00036AF2" w:rsidRDefault="00036AF2" w:rsidP="00524FEB">
      <w:pPr>
        <w:spacing w:after="120"/>
        <w:jc w:val="both"/>
        <w:rPr>
          <w:rFonts w:ascii="Times New Roman" w:hAnsi="Times New Roman" w:cs="Times New Roman"/>
          <w:sz w:val="24"/>
          <w:szCs w:val="24"/>
        </w:rPr>
      </w:pPr>
    </w:p>
    <w:tbl>
      <w:tblPr>
        <w:tblW w:w="10331" w:type="dxa"/>
        <w:jc w:val="center"/>
        <w:tblCellSpacing w:w="20" w:type="dxa"/>
        <w:tblInd w:w="-38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650"/>
        <w:gridCol w:w="65"/>
      </w:tblGrid>
      <w:tr w:rsidR="0035082C" w:rsidRPr="0035082C" w:rsidTr="00A11AEA">
        <w:trPr>
          <w:trHeight w:val="775"/>
          <w:tblCellSpacing w:w="20" w:type="dxa"/>
          <w:jc w:val="center"/>
        </w:trPr>
        <w:tc>
          <w:tcPr>
            <w:tcW w:w="10251" w:type="dxa"/>
            <w:gridSpan w:val="2"/>
            <w:shd w:val="clear" w:color="auto" w:fill="44546A"/>
          </w:tcPr>
          <w:p w:rsidR="0035082C" w:rsidRPr="0035082C" w:rsidRDefault="0035082C" w:rsidP="0035082C">
            <w:pPr>
              <w:keepNext/>
              <w:spacing w:before="240" w:after="240" w:line="240" w:lineRule="auto"/>
              <w:outlineLvl w:val="0"/>
              <w:rPr>
                <w:rFonts w:ascii="Arial" w:eastAsia="Times New Roman" w:hAnsi="Arial" w:cs="Arial"/>
                <w:b/>
                <w:bCs/>
                <w:color w:val="FFFFFF"/>
                <w:sz w:val="20"/>
                <w:szCs w:val="20"/>
                <w:lang w:eastAsia="hr-HR"/>
              </w:rPr>
            </w:pPr>
            <w:r w:rsidRPr="0035082C">
              <w:rPr>
                <w:rFonts w:ascii="Arial" w:eastAsia="Times New Roman" w:hAnsi="Arial" w:cs="Arial"/>
                <w:b/>
                <w:bCs/>
                <w:color w:val="FFFFFF"/>
                <w:sz w:val="20"/>
                <w:szCs w:val="20"/>
                <w:lang w:eastAsia="hr-HR"/>
              </w:rPr>
              <w:lastRenderedPageBreak/>
              <w:t>DOM ZA STARIJE I NEMOĆNE OSOBE VARAŽDIN</w:t>
            </w:r>
          </w:p>
        </w:tc>
      </w:tr>
      <w:tr w:rsidR="0035082C" w:rsidRPr="0035082C" w:rsidTr="00A11AEA">
        <w:trPr>
          <w:trHeight w:val="70"/>
          <w:tblCellSpacing w:w="20" w:type="dxa"/>
          <w:jc w:val="center"/>
        </w:trPr>
        <w:tc>
          <w:tcPr>
            <w:tcW w:w="10251" w:type="dxa"/>
            <w:gridSpan w:val="2"/>
            <w:shd w:val="clear" w:color="auto" w:fill="auto"/>
          </w:tcPr>
          <w:p w:rsidR="0035082C" w:rsidRPr="0035082C" w:rsidRDefault="0035082C" w:rsidP="0035082C">
            <w:pPr>
              <w:spacing w:before="120" w:after="120" w:line="240" w:lineRule="auto"/>
              <w:jc w:val="both"/>
              <w:rPr>
                <w:rFonts w:ascii="Arial" w:eastAsia="Times New Roman" w:hAnsi="Arial" w:cs="Arial"/>
                <w:b/>
                <w:bCs/>
                <w:sz w:val="18"/>
                <w:szCs w:val="18"/>
                <w:lang w:eastAsia="hr-HR"/>
              </w:rPr>
            </w:pPr>
            <w:r w:rsidRPr="0035082C">
              <w:rPr>
                <w:rFonts w:ascii="Arial" w:eastAsia="Times New Roman" w:hAnsi="Arial" w:cs="Arial"/>
                <w:b/>
                <w:bCs/>
                <w:sz w:val="18"/>
                <w:szCs w:val="18"/>
                <w:lang w:eastAsia="hr-HR"/>
              </w:rPr>
              <w:t>SAŽETAK DJELOKRUGA RADA:</w:t>
            </w:r>
          </w:p>
          <w:p w:rsidR="0035082C" w:rsidRPr="0035082C" w:rsidRDefault="0035082C" w:rsidP="0035082C">
            <w:pPr>
              <w:spacing w:after="0" w:line="240" w:lineRule="auto"/>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 xml:space="preserve">Dom za starije i nemoćne osobe Varaždin pruža usluge skrbi izvan vlastite obitelji starijim i nemoćnim osobama, kojim je zbog trajnih promjena u zdravstvenom stanju i nemoći, prijeko potrebna stalna pomoć i njega druge osobe. U okviru smještaja pružaju se usluge: stanovanja i prehrane, brige o zdravlju, njege, održavanje osobne higijene i pomoći pri obavljanju svakodnevnih aktivnosti, usluge socijalnog rada, psihosocijalne terapije, radnih aktivnosti, organiziranja slobodnog vremena, organiziranog prijevoza i savjetodavnog rada. Uz osnovnu uslugu smještaja, skrbi i zbrinjavanja osoba starije životne dobi, a kao odgovor na potrebe lokalne zajednice koja stari, Dom pruža i dodatne usluge putem Dnevnog centra i Kluba za starije osobe (koji danas djeluje kao Udruga u prostorima Doma). </w:t>
            </w:r>
          </w:p>
        </w:tc>
      </w:tr>
      <w:tr w:rsidR="0035082C" w:rsidRPr="0035082C" w:rsidTr="00A11AEA">
        <w:trPr>
          <w:trHeight w:val="64"/>
          <w:tblCellSpacing w:w="20" w:type="dxa"/>
          <w:jc w:val="center"/>
        </w:trPr>
        <w:tc>
          <w:tcPr>
            <w:tcW w:w="10251" w:type="dxa"/>
            <w:gridSpan w:val="2"/>
            <w:shd w:val="clear" w:color="auto" w:fill="auto"/>
          </w:tcPr>
          <w:p w:rsidR="0035082C" w:rsidRPr="0035082C" w:rsidRDefault="0035082C" w:rsidP="0035082C">
            <w:pPr>
              <w:spacing w:before="120" w:after="120" w:line="240" w:lineRule="auto"/>
              <w:jc w:val="both"/>
              <w:rPr>
                <w:rFonts w:ascii="Arial" w:eastAsia="Times New Roman" w:hAnsi="Arial" w:cs="Arial"/>
                <w:b/>
                <w:bCs/>
                <w:sz w:val="18"/>
                <w:szCs w:val="18"/>
                <w:lang w:eastAsia="hr-HR"/>
              </w:rPr>
            </w:pPr>
            <w:r w:rsidRPr="0035082C">
              <w:rPr>
                <w:rFonts w:ascii="Arial" w:eastAsia="Times New Roman" w:hAnsi="Arial" w:cs="Arial"/>
                <w:b/>
                <w:bCs/>
                <w:sz w:val="18"/>
                <w:szCs w:val="18"/>
                <w:lang w:eastAsia="hr-HR"/>
              </w:rPr>
              <w:t>ORGANIZACIJSKA STRUKTURA:</w:t>
            </w:r>
          </w:p>
          <w:p w:rsidR="009F5CFF" w:rsidRPr="0035082C" w:rsidRDefault="0035082C" w:rsidP="009A0CAC">
            <w:pPr>
              <w:spacing w:after="120" w:line="240" w:lineRule="auto"/>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Sukladno Statutu Doma, rad je organ</w:t>
            </w:r>
            <w:r w:rsidR="0005109A">
              <w:rPr>
                <w:rFonts w:ascii="Times New Roman" w:eastAsia="Times New Roman" w:hAnsi="Times New Roman" w:cs="Times New Roman"/>
                <w:sz w:val="24"/>
                <w:szCs w:val="24"/>
                <w:lang w:eastAsia="hr-HR"/>
              </w:rPr>
              <w:t>iziran kroz slijedeće ustrojstvene jedinice</w:t>
            </w:r>
            <w:r w:rsidRPr="0035082C">
              <w:rPr>
                <w:rFonts w:ascii="Times New Roman" w:eastAsia="Times New Roman" w:hAnsi="Times New Roman" w:cs="Times New Roman"/>
                <w:sz w:val="24"/>
                <w:szCs w:val="24"/>
                <w:lang w:eastAsia="hr-HR"/>
              </w:rPr>
              <w:t xml:space="preserve">, ovisno o srodnosti i povezanosti poslova te potrebnog broja izvršitelja za njihovo obavljanje: </w:t>
            </w:r>
          </w:p>
          <w:p w:rsidR="009F5CFF" w:rsidRPr="0035082C" w:rsidRDefault="009F5CFF" w:rsidP="009F5CFF">
            <w:pPr>
              <w:numPr>
                <w:ilvl w:val="0"/>
                <w:numId w:val="5"/>
              </w:numPr>
              <w:spacing w:after="0" w:line="240" w:lineRule="auto"/>
              <w:ind w:left="142"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Ured ravnatelja</w:t>
            </w:r>
            <w:r w:rsidRPr="0035082C">
              <w:rPr>
                <w:rFonts w:ascii="Times New Roman" w:eastAsia="Times New Roman" w:hAnsi="Times New Roman" w:cs="Times New Roman"/>
                <w:sz w:val="24"/>
                <w:szCs w:val="24"/>
                <w:lang w:eastAsia="hr-HR"/>
              </w:rPr>
              <w:t>:</w:t>
            </w:r>
          </w:p>
          <w:p w:rsidR="009F5CFF" w:rsidRDefault="009F5CFF" w:rsidP="009F5CFF">
            <w:pPr>
              <w:pStyle w:val="Bezproreda"/>
              <w:jc w:val="both"/>
              <w:rPr>
                <w:rFonts w:ascii="Times New Roman" w:hAnsi="Times New Roman"/>
                <w:bCs/>
                <w:sz w:val="24"/>
                <w:szCs w:val="24"/>
              </w:rPr>
            </w:pPr>
            <w:r>
              <w:rPr>
                <w:rFonts w:ascii="Times New Roman" w:hAnsi="Times New Roman"/>
                <w:bCs/>
                <w:sz w:val="24"/>
                <w:szCs w:val="24"/>
              </w:rPr>
              <w:t xml:space="preserve">     - poslovi organizacije i planiranja aktivnosti svih ustrojbenih jedinica</w:t>
            </w:r>
          </w:p>
          <w:p w:rsidR="009F5CFF" w:rsidRDefault="009F5CFF" w:rsidP="009F5CFF">
            <w:pPr>
              <w:pStyle w:val="Bezproreda"/>
              <w:jc w:val="both"/>
              <w:rPr>
                <w:rFonts w:ascii="Times New Roman" w:hAnsi="Times New Roman"/>
                <w:bCs/>
                <w:sz w:val="24"/>
                <w:szCs w:val="24"/>
              </w:rPr>
            </w:pPr>
            <w:r>
              <w:rPr>
                <w:rFonts w:ascii="Times New Roman" w:hAnsi="Times New Roman"/>
                <w:bCs/>
                <w:sz w:val="24"/>
                <w:szCs w:val="24"/>
              </w:rPr>
              <w:t xml:space="preserve">     - praćenje zakonskih propisa, priprema općih akata Doma za sjednice Upravnog vijeća</w:t>
            </w:r>
          </w:p>
          <w:p w:rsidR="0035082C" w:rsidRPr="009A0CAC" w:rsidRDefault="009F5CFF" w:rsidP="009A0CAC">
            <w:pPr>
              <w:pStyle w:val="Bezproreda"/>
              <w:tabs>
                <w:tab w:val="left" w:pos="709"/>
              </w:tabs>
              <w:spacing w:after="120"/>
              <w:jc w:val="both"/>
              <w:rPr>
                <w:rFonts w:ascii="Times New Roman" w:hAnsi="Times New Roman"/>
                <w:bCs/>
                <w:sz w:val="24"/>
                <w:szCs w:val="24"/>
              </w:rPr>
            </w:pPr>
            <w:r>
              <w:rPr>
                <w:rFonts w:ascii="Times New Roman" w:hAnsi="Times New Roman"/>
                <w:bCs/>
                <w:sz w:val="24"/>
                <w:szCs w:val="24"/>
              </w:rPr>
              <w:t xml:space="preserve">     - administrativni poslovi vezani uz funkcioniranje Doma</w:t>
            </w:r>
          </w:p>
          <w:p w:rsidR="0035082C" w:rsidRPr="0035082C" w:rsidRDefault="0035082C" w:rsidP="0035082C">
            <w:pPr>
              <w:numPr>
                <w:ilvl w:val="0"/>
                <w:numId w:val="5"/>
              </w:numPr>
              <w:spacing w:after="120" w:line="240" w:lineRule="auto"/>
              <w:ind w:left="142" w:hanging="142"/>
              <w:contextualSpacing/>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Od</w:t>
            </w:r>
            <w:r w:rsidR="0005109A">
              <w:rPr>
                <w:rFonts w:ascii="Times New Roman" w:eastAsia="Times New Roman" w:hAnsi="Times New Roman" w:cs="Times New Roman"/>
                <w:sz w:val="24"/>
                <w:szCs w:val="24"/>
                <w:lang w:eastAsia="hr-HR"/>
              </w:rPr>
              <w:t>jel socijalnog rada</w:t>
            </w:r>
            <w:r w:rsidRPr="0035082C">
              <w:rPr>
                <w:rFonts w:ascii="Times New Roman" w:eastAsia="Times New Roman" w:hAnsi="Times New Roman" w:cs="Times New Roman"/>
                <w:sz w:val="24"/>
                <w:szCs w:val="24"/>
                <w:lang w:eastAsia="hr-HR"/>
              </w:rPr>
              <w:t>:</w:t>
            </w:r>
          </w:p>
          <w:p w:rsidR="0035082C" w:rsidRPr="0035082C" w:rsidRDefault="0035082C" w:rsidP="0035082C">
            <w:pPr>
              <w:numPr>
                <w:ilvl w:val="0"/>
                <w:numId w:val="4"/>
              </w:numPr>
              <w:spacing w:after="0" w:line="240" w:lineRule="auto"/>
              <w:ind w:left="426" w:hanging="142"/>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 xml:space="preserve">poslovi socijalnog </w:t>
            </w:r>
            <w:r w:rsidR="00367345">
              <w:rPr>
                <w:rFonts w:ascii="Times New Roman" w:eastAsia="Times New Roman" w:hAnsi="Times New Roman" w:cs="Times New Roman"/>
                <w:sz w:val="24"/>
                <w:szCs w:val="24"/>
                <w:lang w:eastAsia="hr-HR"/>
              </w:rPr>
              <w:t>rada</w:t>
            </w:r>
          </w:p>
          <w:p w:rsidR="00367345" w:rsidRPr="00367345" w:rsidRDefault="00367345" w:rsidP="00367345">
            <w:pPr>
              <w:numPr>
                <w:ilvl w:val="0"/>
                <w:numId w:val="4"/>
              </w:numPr>
              <w:spacing w:after="0" w:line="240" w:lineRule="auto"/>
              <w:ind w:left="451" w:hanging="142"/>
              <w:jc w:val="both"/>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poslovi skrbi oboljelih od Alzheimerove bolesti i drugih demencija</w:t>
            </w:r>
          </w:p>
          <w:p w:rsidR="00367345" w:rsidRPr="00367345" w:rsidRDefault="00367345" w:rsidP="00367345">
            <w:pPr>
              <w:numPr>
                <w:ilvl w:val="0"/>
                <w:numId w:val="4"/>
              </w:numPr>
              <w:spacing w:after="0" w:line="240" w:lineRule="auto"/>
              <w:ind w:left="451" w:hanging="142"/>
              <w:jc w:val="both"/>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poslovi obavljanja sestrinske prakse uključujući unapređenje zdrav</w:t>
            </w:r>
            <w:r w:rsidR="009F5CFF">
              <w:rPr>
                <w:rFonts w:ascii="Times New Roman" w:eastAsia="Times New Roman" w:hAnsi="Times New Roman" w:cs="Times New Roman"/>
                <w:sz w:val="24"/>
                <w:szCs w:val="24"/>
                <w:lang w:eastAsia="hr-HR"/>
              </w:rPr>
              <w:t xml:space="preserve">lja, sprečavanja bolesti i </w:t>
            </w:r>
            <w:r w:rsidRPr="00367345">
              <w:rPr>
                <w:rFonts w:ascii="Times New Roman" w:eastAsia="Times New Roman" w:hAnsi="Times New Roman" w:cs="Times New Roman"/>
                <w:sz w:val="24"/>
                <w:szCs w:val="24"/>
                <w:lang w:eastAsia="hr-HR"/>
              </w:rPr>
              <w:t xml:space="preserve">njege </w:t>
            </w:r>
          </w:p>
          <w:p w:rsidR="00367345" w:rsidRPr="009F5CFF" w:rsidRDefault="00367345" w:rsidP="009F5CFF">
            <w:pPr>
              <w:numPr>
                <w:ilvl w:val="0"/>
                <w:numId w:val="4"/>
              </w:numPr>
              <w:spacing w:after="0" w:line="240" w:lineRule="auto"/>
              <w:ind w:left="451" w:hanging="142"/>
              <w:jc w:val="both"/>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poslovi pružanja odgovarajućih usluga ovisno o intenzitetu pružanja usluge</w:t>
            </w:r>
          </w:p>
          <w:p w:rsidR="00367345" w:rsidRPr="009A0CAC" w:rsidRDefault="00367345" w:rsidP="009A0CAC">
            <w:pPr>
              <w:numPr>
                <w:ilvl w:val="0"/>
                <w:numId w:val="4"/>
              </w:numPr>
              <w:spacing w:after="120" w:line="240" w:lineRule="auto"/>
              <w:ind w:left="448" w:hanging="142"/>
              <w:jc w:val="both"/>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poslovi fizikalne terapije i rehabilitacije</w:t>
            </w:r>
          </w:p>
          <w:p w:rsidR="0035082C" w:rsidRPr="0035082C" w:rsidRDefault="0035082C" w:rsidP="0035082C">
            <w:pPr>
              <w:numPr>
                <w:ilvl w:val="0"/>
                <w:numId w:val="5"/>
              </w:numPr>
              <w:spacing w:after="120" w:line="240" w:lineRule="auto"/>
              <w:ind w:left="142" w:hanging="142"/>
              <w:contextualSpacing/>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Odjel gerijatrijsko-zdravst</w:t>
            </w:r>
            <w:r w:rsidR="009A0CAC">
              <w:rPr>
                <w:rFonts w:ascii="Times New Roman" w:eastAsia="Times New Roman" w:hAnsi="Times New Roman" w:cs="Times New Roman"/>
                <w:sz w:val="24"/>
                <w:szCs w:val="24"/>
                <w:lang w:eastAsia="hr-HR"/>
              </w:rPr>
              <w:t xml:space="preserve">vene njege i </w:t>
            </w:r>
            <w:r w:rsidRPr="0035082C">
              <w:rPr>
                <w:rFonts w:ascii="Times New Roman" w:eastAsia="Times New Roman" w:hAnsi="Times New Roman" w:cs="Times New Roman"/>
                <w:sz w:val="24"/>
                <w:szCs w:val="24"/>
                <w:lang w:eastAsia="hr-HR"/>
              </w:rPr>
              <w:t>demencije</w:t>
            </w:r>
            <w:r w:rsidR="009A0CAC">
              <w:rPr>
                <w:rFonts w:ascii="Times New Roman" w:eastAsia="Times New Roman" w:hAnsi="Times New Roman" w:cs="Times New Roman"/>
                <w:sz w:val="24"/>
                <w:szCs w:val="24"/>
                <w:lang w:eastAsia="hr-HR"/>
              </w:rPr>
              <w:t xml:space="preserve"> i Odsjek</w:t>
            </w:r>
            <w:r w:rsidR="009A0CAC" w:rsidRPr="0035082C">
              <w:rPr>
                <w:rFonts w:ascii="Times New Roman" w:eastAsia="Times New Roman" w:hAnsi="Times New Roman" w:cs="Times New Roman"/>
                <w:sz w:val="24"/>
                <w:szCs w:val="24"/>
                <w:lang w:eastAsia="hr-HR"/>
              </w:rPr>
              <w:t xml:space="preserve"> gerijatrijsko-zdravst</w:t>
            </w:r>
            <w:r w:rsidR="009A0CAC">
              <w:rPr>
                <w:rFonts w:ascii="Times New Roman" w:eastAsia="Times New Roman" w:hAnsi="Times New Roman" w:cs="Times New Roman"/>
                <w:sz w:val="24"/>
                <w:szCs w:val="24"/>
                <w:lang w:eastAsia="hr-HR"/>
              </w:rPr>
              <w:t xml:space="preserve">vene njege i brige o zdravlju </w:t>
            </w:r>
            <w:r w:rsidRPr="0035082C">
              <w:rPr>
                <w:rFonts w:ascii="Times New Roman" w:eastAsia="Times New Roman" w:hAnsi="Times New Roman" w:cs="Times New Roman"/>
                <w:sz w:val="24"/>
                <w:szCs w:val="24"/>
                <w:lang w:eastAsia="hr-HR"/>
              </w:rPr>
              <w:t>:</w:t>
            </w:r>
          </w:p>
          <w:p w:rsidR="0035082C" w:rsidRPr="0035082C" w:rsidRDefault="0035082C" w:rsidP="0035082C">
            <w:pPr>
              <w:numPr>
                <w:ilvl w:val="0"/>
                <w:numId w:val="4"/>
              </w:numPr>
              <w:spacing w:after="0" w:line="240" w:lineRule="auto"/>
              <w:ind w:left="426" w:hanging="142"/>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poslovi zdravstvene zaštite i njege korisnika na OGZNJ i stambenom dijelu Doma</w:t>
            </w:r>
          </w:p>
          <w:p w:rsidR="0035082C" w:rsidRPr="0035082C" w:rsidRDefault="0035082C" w:rsidP="0035082C">
            <w:pPr>
              <w:numPr>
                <w:ilvl w:val="0"/>
                <w:numId w:val="4"/>
              </w:numPr>
              <w:spacing w:after="120" w:line="240" w:lineRule="auto"/>
              <w:ind w:left="426" w:hanging="142"/>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poslovi pružanja odgovarajućih usluga primarne, sekundarne i tercijarne prevencije, utvrđivanja zdravstvenih potreba i funkcionalne onesposobljenosti sta</w:t>
            </w:r>
            <w:r w:rsidR="00367345">
              <w:rPr>
                <w:rFonts w:ascii="Times New Roman" w:eastAsia="Times New Roman" w:hAnsi="Times New Roman" w:cs="Times New Roman"/>
                <w:sz w:val="24"/>
                <w:szCs w:val="24"/>
                <w:lang w:eastAsia="hr-HR"/>
              </w:rPr>
              <w:t>rijih osoba u gerijatriji na odjelu i u stambenom dijelu</w:t>
            </w:r>
          </w:p>
          <w:p w:rsidR="0035082C" w:rsidRPr="0035082C" w:rsidRDefault="00367345" w:rsidP="0035082C">
            <w:pPr>
              <w:numPr>
                <w:ilvl w:val="0"/>
                <w:numId w:val="5"/>
              </w:numPr>
              <w:spacing w:after="120" w:line="240" w:lineRule="auto"/>
              <w:ind w:left="142"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Odjel zajedničkih</w:t>
            </w:r>
            <w:r w:rsidR="0035082C" w:rsidRPr="0035082C">
              <w:rPr>
                <w:rFonts w:ascii="Times New Roman" w:eastAsia="Times New Roman" w:hAnsi="Times New Roman" w:cs="Times New Roman"/>
                <w:sz w:val="24"/>
                <w:szCs w:val="24"/>
                <w:lang w:eastAsia="hr-HR"/>
              </w:rPr>
              <w:t xml:space="preserve"> poslova:</w:t>
            </w:r>
          </w:p>
          <w:p w:rsidR="0035082C" w:rsidRPr="001E3448" w:rsidRDefault="009A0CAC" w:rsidP="001E3448">
            <w:pPr>
              <w:numPr>
                <w:ilvl w:val="0"/>
                <w:numId w:val="4"/>
              </w:numPr>
              <w:spacing w:after="0" w:line="240" w:lineRule="auto"/>
              <w:ind w:left="426" w:hanging="142"/>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R</w:t>
            </w:r>
            <w:r w:rsidR="0035082C" w:rsidRPr="0035082C">
              <w:rPr>
                <w:rFonts w:ascii="Times New Roman" w:eastAsia="Times New Roman" w:hAnsi="Times New Roman" w:cs="Times New Roman"/>
                <w:sz w:val="24"/>
                <w:szCs w:val="24"/>
                <w:lang w:eastAsia="hr-HR"/>
              </w:rPr>
              <w:t>ačunovodstveni</w:t>
            </w:r>
            <w:r>
              <w:rPr>
                <w:rFonts w:ascii="Times New Roman" w:eastAsia="Times New Roman" w:hAnsi="Times New Roman" w:cs="Times New Roman"/>
                <w:sz w:val="24"/>
                <w:szCs w:val="24"/>
                <w:lang w:eastAsia="hr-HR"/>
              </w:rPr>
              <w:t xml:space="preserve"> i opći</w:t>
            </w:r>
            <w:r w:rsidR="0035082C" w:rsidRPr="0035082C">
              <w:rPr>
                <w:rFonts w:ascii="Times New Roman" w:eastAsia="Times New Roman" w:hAnsi="Times New Roman" w:cs="Times New Roman"/>
                <w:sz w:val="24"/>
                <w:szCs w:val="24"/>
                <w:lang w:eastAsia="hr-HR"/>
              </w:rPr>
              <w:t xml:space="preserve"> poslovi</w:t>
            </w:r>
            <w:r w:rsidR="001E3448">
              <w:rPr>
                <w:rFonts w:ascii="Times New Roman" w:eastAsia="Times New Roman" w:hAnsi="Times New Roman" w:cs="Times New Roman"/>
                <w:sz w:val="24"/>
                <w:szCs w:val="24"/>
                <w:lang w:eastAsia="hr-HR"/>
              </w:rPr>
              <w:t xml:space="preserve">; </w:t>
            </w:r>
            <w:r w:rsidR="0035082C" w:rsidRPr="001E3448">
              <w:rPr>
                <w:rFonts w:ascii="Times New Roman" w:eastAsia="Times New Roman" w:hAnsi="Times New Roman" w:cs="Times New Roman"/>
                <w:sz w:val="24"/>
                <w:szCs w:val="24"/>
                <w:lang w:eastAsia="hr-HR"/>
              </w:rPr>
              <w:t>administrativno-kadrovski poslovi</w:t>
            </w:r>
            <w:r>
              <w:rPr>
                <w:rFonts w:ascii="Times New Roman" w:eastAsia="Times New Roman" w:hAnsi="Times New Roman" w:cs="Times New Roman"/>
                <w:sz w:val="24"/>
                <w:szCs w:val="24"/>
                <w:lang w:eastAsia="hr-HR"/>
              </w:rPr>
              <w:t>; poslovi recepcije</w:t>
            </w:r>
          </w:p>
          <w:p w:rsidR="00367345" w:rsidRPr="009A0CAC" w:rsidRDefault="00367345" w:rsidP="009A0CAC">
            <w:pPr>
              <w:numPr>
                <w:ilvl w:val="0"/>
                <w:numId w:val="4"/>
              </w:numPr>
              <w:spacing w:after="0" w:line="240" w:lineRule="auto"/>
              <w:ind w:left="426" w:hanging="14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poslovi aktivnog</w:t>
            </w:r>
            <w:r w:rsidRPr="00367345">
              <w:rPr>
                <w:rFonts w:ascii="Times New Roman" w:hAnsi="Times New Roman" w:cs="Times New Roman"/>
                <w:sz w:val="24"/>
                <w:szCs w:val="24"/>
              </w:rPr>
              <w:t xml:space="preserve"> </w:t>
            </w:r>
            <w:r w:rsidRPr="00367345">
              <w:rPr>
                <w:rFonts w:ascii="Times New Roman" w:eastAsia="Times New Roman" w:hAnsi="Times New Roman" w:cs="Times New Roman"/>
                <w:sz w:val="24"/>
                <w:szCs w:val="24"/>
                <w:lang w:eastAsia="hr-HR"/>
              </w:rPr>
              <w:t>provođenja vremena, radne terapije i organizacije slobodnog vremena u Dnevnom boravku</w:t>
            </w:r>
          </w:p>
          <w:p w:rsidR="00367345" w:rsidRPr="00367345" w:rsidRDefault="00367345" w:rsidP="00367345">
            <w:pPr>
              <w:numPr>
                <w:ilvl w:val="0"/>
                <w:numId w:val="4"/>
              </w:numPr>
              <w:spacing w:after="0" w:line="240" w:lineRule="auto"/>
              <w:ind w:left="448" w:hanging="142"/>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prijevoz korisnika u dolasku i odlasku u Dnevnom boravku</w:t>
            </w:r>
          </w:p>
          <w:p w:rsidR="00367345" w:rsidRPr="00367345" w:rsidRDefault="00367345" w:rsidP="00367345">
            <w:pPr>
              <w:numPr>
                <w:ilvl w:val="0"/>
                <w:numId w:val="4"/>
              </w:numPr>
              <w:spacing w:after="120" w:line="240" w:lineRule="auto"/>
              <w:ind w:left="451" w:hanging="142"/>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poslovi njege i zdravstvene zaštite korisnika u Dnevnom boravku</w:t>
            </w:r>
          </w:p>
          <w:p w:rsidR="0035082C" w:rsidRDefault="0035082C" w:rsidP="0035082C">
            <w:pPr>
              <w:numPr>
                <w:ilvl w:val="0"/>
                <w:numId w:val="5"/>
              </w:numPr>
              <w:spacing w:after="120" w:line="240" w:lineRule="auto"/>
              <w:ind w:left="142" w:hanging="142"/>
              <w:contextualSpacing/>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Odjel tehničko-pomoćnih poslova:</w:t>
            </w:r>
          </w:p>
          <w:p w:rsidR="00630371" w:rsidRPr="00630371" w:rsidRDefault="00630371" w:rsidP="00630371">
            <w:pPr>
              <w:spacing w:after="120" w:line="240" w:lineRule="auto"/>
              <w:ind w:left="451"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630371">
              <w:rPr>
                <w:rFonts w:ascii="Times New Roman" w:eastAsia="Times New Roman" w:hAnsi="Times New Roman" w:cs="Times New Roman"/>
                <w:sz w:val="24"/>
                <w:szCs w:val="24"/>
                <w:lang w:eastAsia="hr-HR"/>
              </w:rPr>
              <w:tab/>
              <w:t xml:space="preserve">popravci i održavanje strojeva, uređaja, parnih kotlova i instalacija centralnog grijanja </w:t>
            </w:r>
          </w:p>
          <w:p w:rsidR="00630371" w:rsidRPr="00630371" w:rsidRDefault="00630371" w:rsidP="001E3448">
            <w:pPr>
              <w:spacing w:after="120" w:line="240" w:lineRule="auto"/>
              <w:ind w:left="451"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1E3448">
              <w:rPr>
                <w:rFonts w:ascii="Times New Roman" w:eastAsia="Times New Roman" w:hAnsi="Times New Roman" w:cs="Times New Roman"/>
                <w:sz w:val="24"/>
                <w:szCs w:val="24"/>
                <w:lang w:eastAsia="hr-HR"/>
              </w:rPr>
              <w:tab/>
              <w:t xml:space="preserve">popravci i održavanje  zgrade; </w:t>
            </w:r>
            <w:r w:rsidRPr="00630371">
              <w:rPr>
                <w:rFonts w:ascii="Times New Roman" w:eastAsia="Times New Roman" w:hAnsi="Times New Roman" w:cs="Times New Roman"/>
                <w:sz w:val="24"/>
                <w:szCs w:val="24"/>
                <w:lang w:eastAsia="hr-HR"/>
              </w:rPr>
              <w:t>poslovi ekonoma -  nabave</w:t>
            </w:r>
          </w:p>
          <w:p w:rsidR="00630371" w:rsidRPr="00630371" w:rsidRDefault="00630371" w:rsidP="00630371">
            <w:pPr>
              <w:spacing w:after="120" w:line="240" w:lineRule="auto"/>
              <w:ind w:left="451"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630371">
              <w:rPr>
                <w:rFonts w:ascii="Times New Roman" w:eastAsia="Times New Roman" w:hAnsi="Times New Roman" w:cs="Times New Roman"/>
                <w:sz w:val="24"/>
                <w:szCs w:val="24"/>
                <w:lang w:eastAsia="hr-HR"/>
              </w:rPr>
              <w:tab/>
              <w:t>poslovi skladištenja i čuvanja robe i namirnica</w:t>
            </w:r>
          </w:p>
          <w:p w:rsidR="00630371" w:rsidRPr="00630371" w:rsidRDefault="00630371" w:rsidP="00630371">
            <w:pPr>
              <w:spacing w:after="120" w:line="240" w:lineRule="auto"/>
              <w:ind w:left="451"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1E3448">
              <w:rPr>
                <w:rFonts w:ascii="Times New Roman" w:eastAsia="Times New Roman" w:hAnsi="Times New Roman" w:cs="Times New Roman"/>
                <w:sz w:val="24"/>
                <w:szCs w:val="24"/>
                <w:lang w:eastAsia="hr-HR"/>
              </w:rPr>
              <w:tab/>
              <w:t xml:space="preserve">poslovi održavanja i čišćenja </w:t>
            </w:r>
            <w:r w:rsidRPr="00630371">
              <w:rPr>
                <w:rFonts w:ascii="Times New Roman" w:eastAsia="Times New Roman" w:hAnsi="Times New Roman" w:cs="Times New Roman"/>
                <w:sz w:val="24"/>
                <w:szCs w:val="24"/>
                <w:lang w:eastAsia="hr-HR"/>
              </w:rPr>
              <w:t>svih prostora Doma i okoliša</w:t>
            </w:r>
          </w:p>
          <w:p w:rsidR="00630371" w:rsidRPr="0035082C" w:rsidRDefault="00630371" w:rsidP="001E3448">
            <w:pPr>
              <w:spacing w:after="120" w:line="240" w:lineRule="auto"/>
              <w:ind w:left="451"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9A0CAC">
              <w:rPr>
                <w:rFonts w:ascii="Times New Roman" w:eastAsia="Times New Roman" w:hAnsi="Times New Roman" w:cs="Times New Roman"/>
                <w:sz w:val="24"/>
                <w:szCs w:val="24"/>
                <w:lang w:eastAsia="hr-HR"/>
              </w:rPr>
              <w:tab/>
              <w:t>prijevoz korisnika Doma;</w:t>
            </w:r>
            <w:r w:rsidR="001E3448">
              <w:rPr>
                <w:rFonts w:ascii="Times New Roman" w:eastAsia="Times New Roman" w:hAnsi="Times New Roman" w:cs="Times New Roman"/>
                <w:sz w:val="24"/>
                <w:szCs w:val="24"/>
                <w:lang w:eastAsia="hr-HR"/>
              </w:rPr>
              <w:t xml:space="preserve"> </w:t>
            </w:r>
            <w:r w:rsidRPr="00630371">
              <w:rPr>
                <w:rFonts w:ascii="Times New Roman" w:eastAsia="Times New Roman" w:hAnsi="Times New Roman" w:cs="Times New Roman"/>
                <w:sz w:val="24"/>
                <w:szCs w:val="24"/>
                <w:lang w:eastAsia="hr-HR"/>
              </w:rPr>
              <w:t>poslovi pranja rublja</w:t>
            </w:r>
          </w:p>
          <w:p w:rsidR="0035082C" w:rsidRPr="00630371" w:rsidRDefault="0035082C" w:rsidP="00630371">
            <w:pPr>
              <w:numPr>
                <w:ilvl w:val="0"/>
                <w:numId w:val="5"/>
              </w:numPr>
              <w:spacing w:after="120" w:line="240" w:lineRule="auto"/>
              <w:ind w:left="142" w:hanging="142"/>
              <w:contextualSpacing/>
              <w:jc w:val="both"/>
              <w:rPr>
                <w:rFonts w:ascii="Times New Roman" w:eastAsia="Times New Roman" w:hAnsi="Times New Roman" w:cs="Times New Roman"/>
                <w:b/>
                <w:sz w:val="24"/>
                <w:szCs w:val="24"/>
                <w:lang w:eastAsia="hr-HR"/>
              </w:rPr>
            </w:pPr>
            <w:r w:rsidRPr="0035082C">
              <w:rPr>
                <w:rFonts w:ascii="Times New Roman" w:eastAsia="Times New Roman" w:hAnsi="Times New Roman" w:cs="Times New Roman"/>
                <w:sz w:val="24"/>
                <w:szCs w:val="24"/>
                <w:lang w:eastAsia="hr-HR"/>
              </w:rPr>
              <w:t>Odjel prehrane i posluživanja</w:t>
            </w:r>
            <w:r w:rsidRPr="0035082C">
              <w:rPr>
                <w:rFonts w:ascii="Times New Roman" w:eastAsia="Times New Roman" w:hAnsi="Times New Roman" w:cs="Times New Roman"/>
                <w:b/>
                <w:sz w:val="24"/>
                <w:szCs w:val="24"/>
                <w:lang w:eastAsia="hr-HR"/>
              </w:rPr>
              <w:t>:</w:t>
            </w:r>
          </w:p>
          <w:p w:rsidR="00630371" w:rsidRPr="001E3448" w:rsidRDefault="001E3448" w:rsidP="001E3448">
            <w:pPr>
              <w:numPr>
                <w:ilvl w:val="0"/>
                <w:numId w:val="4"/>
              </w:numPr>
              <w:spacing w:after="0" w:line="240" w:lineRule="auto"/>
              <w:ind w:left="451" w:hanging="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sastavljanje jelovnika; </w:t>
            </w:r>
            <w:r w:rsidR="00630371" w:rsidRPr="001E3448">
              <w:rPr>
                <w:rFonts w:ascii="Times New Roman" w:eastAsia="Times New Roman" w:hAnsi="Times New Roman" w:cs="Times New Roman"/>
                <w:sz w:val="24"/>
                <w:szCs w:val="24"/>
                <w:lang w:eastAsia="hr-HR"/>
              </w:rPr>
              <w:t>preuzimanje  namirnica iz skladišta Doma</w:t>
            </w:r>
          </w:p>
          <w:p w:rsidR="0035082C" w:rsidRPr="001E3448" w:rsidRDefault="00630371" w:rsidP="001E3448">
            <w:pPr>
              <w:numPr>
                <w:ilvl w:val="0"/>
                <w:numId w:val="4"/>
              </w:numPr>
              <w:spacing w:after="0" w:line="240" w:lineRule="auto"/>
              <w:ind w:left="451" w:hanging="142"/>
              <w:jc w:val="both"/>
              <w:rPr>
                <w:rFonts w:ascii="Times New Roman" w:eastAsia="Times New Roman" w:hAnsi="Times New Roman" w:cs="Times New Roman"/>
                <w:sz w:val="24"/>
                <w:szCs w:val="24"/>
                <w:lang w:eastAsia="hr-HR"/>
              </w:rPr>
            </w:pPr>
            <w:r w:rsidRPr="00630371">
              <w:rPr>
                <w:rFonts w:ascii="Times New Roman" w:eastAsia="Times New Roman" w:hAnsi="Times New Roman" w:cs="Times New Roman"/>
                <w:sz w:val="24"/>
                <w:szCs w:val="24"/>
                <w:lang w:eastAsia="hr-HR"/>
              </w:rPr>
              <w:t>priprema, izdavanje i serviranje hrane</w:t>
            </w:r>
            <w:r w:rsidR="001E3448">
              <w:rPr>
                <w:rFonts w:ascii="Times New Roman" w:eastAsia="Times New Roman" w:hAnsi="Times New Roman" w:cs="Times New Roman"/>
                <w:sz w:val="24"/>
                <w:szCs w:val="24"/>
                <w:lang w:eastAsia="hr-HR"/>
              </w:rPr>
              <w:t xml:space="preserve">; </w:t>
            </w:r>
            <w:r w:rsidRPr="001E3448">
              <w:rPr>
                <w:rFonts w:ascii="Times New Roman" w:eastAsia="Times New Roman" w:hAnsi="Times New Roman" w:cs="Times New Roman"/>
                <w:sz w:val="24"/>
                <w:szCs w:val="24"/>
                <w:lang w:eastAsia="hr-HR"/>
              </w:rPr>
              <w:t>pranje suđa i čišćenje  kuhinje i restorana</w:t>
            </w:r>
          </w:p>
        </w:tc>
      </w:tr>
      <w:tr w:rsidR="0035082C" w:rsidRPr="0035082C" w:rsidTr="00A11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177"/>
          <w:tblCellSpacing w:w="20" w:type="dxa"/>
          <w:jc w:val="center"/>
        </w:trPr>
        <w:tc>
          <w:tcPr>
            <w:tcW w:w="10119" w:type="dxa"/>
            <w:tcBorders>
              <w:top w:val="single" w:sz="4" w:space="0" w:color="A6A6A6"/>
              <w:left w:val="single" w:sz="4" w:space="0" w:color="A6A6A6"/>
              <w:bottom w:val="dotted" w:sz="4" w:space="0" w:color="auto"/>
              <w:right w:val="single" w:sz="4" w:space="0" w:color="A6A6A6"/>
            </w:tcBorders>
            <w:shd w:val="clear" w:color="auto" w:fill="BDD6EE"/>
          </w:tcPr>
          <w:p w:rsidR="0035082C" w:rsidRPr="0035082C" w:rsidRDefault="0035082C" w:rsidP="0035082C">
            <w:pPr>
              <w:keepNext/>
              <w:pageBreakBefore/>
              <w:spacing w:before="240" w:after="240" w:line="240" w:lineRule="auto"/>
              <w:outlineLvl w:val="0"/>
              <w:rPr>
                <w:rFonts w:ascii="Arial" w:eastAsia="Times New Roman" w:hAnsi="Arial" w:cs="Arial"/>
                <w:b/>
                <w:bCs/>
                <w:sz w:val="18"/>
                <w:szCs w:val="18"/>
                <w:lang w:eastAsia="hr-HR"/>
              </w:rPr>
            </w:pPr>
            <w:r w:rsidRPr="0035082C">
              <w:rPr>
                <w:rFonts w:ascii="Arial" w:eastAsia="Times New Roman" w:hAnsi="Arial" w:cs="Arial"/>
                <w:b/>
                <w:bCs/>
                <w:sz w:val="18"/>
                <w:szCs w:val="18"/>
                <w:lang w:val="x-none" w:eastAsia="hr-HR"/>
              </w:rPr>
              <w:lastRenderedPageBreak/>
              <w:t xml:space="preserve">PROGRAM: </w:t>
            </w:r>
            <w:r w:rsidRPr="0035082C">
              <w:rPr>
                <w:rFonts w:ascii="Arial" w:eastAsia="Times New Roman" w:hAnsi="Arial" w:cs="Arial"/>
                <w:b/>
                <w:bCs/>
                <w:sz w:val="18"/>
                <w:szCs w:val="18"/>
                <w:lang w:val="x-none" w:eastAsia="x-none"/>
              </w:rPr>
              <w:t>DOM ZA STARIJE I NEMOĆNE OSOBE VARAŽDIN</w:t>
            </w:r>
          </w:p>
        </w:tc>
      </w:tr>
      <w:tr w:rsidR="0035082C" w:rsidRPr="0035082C" w:rsidTr="00A11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193"/>
          <w:tblCellSpacing w:w="20" w:type="dxa"/>
          <w:jc w:val="center"/>
        </w:trPr>
        <w:tc>
          <w:tcPr>
            <w:tcW w:w="10119" w:type="dxa"/>
            <w:tcBorders>
              <w:top w:val="dotted" w:sz="4" w:space="0" w:color="auto"/>
              <w:left w:val="single" w:sz="4" w:space="0" w:color="A6A6A6"/>
              <w:bottom w:val="dotted" w:sz="4" w:space="0" w:color="auto"/>
              <w:right w:val="single" w:sz="4" w:space="0" w:color="A6A6A6"/>
            </w:tcBorders>
            <w:shd w:val="clear" w:color="auto" w:fill="auto"/>
          </w:tcPr>
          <w:p w:rsidR="0035082C" w:rsidRPr="0035082C" w:rsidRDefault="0035082C" w:rsidP="0035082C">
            <w:pPr>
              <w:spacing w:before="120" w:after="120" w:line="240" w:lineRule="auto"/>
              <w:jc w:val="both"/>
              <w:rPr>
                <w:rFonts w:ascii="Arial" w:eastAsia="Times New Roman" w:hAnsi="Arial" w:cs="Arial"/>
                <w:b/>
                <w:bCs/>
                <w:sz w:val="18"/>
                <w:szCs w:val="18"/>
                <w:lang w:eastAsia="hr-HR"/>
              </w:rPr>
            </w:pPr>
            <w:r w:rsidRPr="0035082C">
              <w:rPr>
                <w:rFonts w:ascii="Arial" w:eastAsia="Times New Roman" w:hAnsi="Arial" w:cs="Arial"/>
                <w:b/>
                <w:bCs/>
                <w:sz w:val="18"/>
                <w:szCs w:val="18"/>
                <w:lang w:eastAsia="hr-HR"/>
              </w:rPr>
              <w:t>OPIS PROGRAMA:</w:t>
            </w:r>
          </w:p>
          <w:p w:rsidR="0035082C" w:rsidRPr="0035082C" w:rsidRDefault="0035082C" w:rsidP="0035082C">
            <w:pPr>
              <w:tabs>
                <w:tab w:val="left" w:pos="709"/>
              </w:tabs>
              <w:spacing w:after="120" w:line="240" w:lineRule="auto"/>
              <w:jc w:val="both"/>
              <w:rPr>
                <w:rFonts w:ascii="Times New Roman" w:eastAsia="Times New Roman" w:hAnsi="Times New Roman" w:cs="Times New Roman"/>
                <w:color w:val="000000"/>
                <w:sz w:val="24"/>
                <w:szCs w:val="24"/>
                <w:lang w:eastAsia="hr-HR"/>
              </w:rPr>
            </w:pPr>
            <w:r w:rsidRPr="0035082C">
              <w:rPr>
                <w:rFonts w:ascii="Times New Roman" w:eastAsia="Times New Roman" w:hAnsi="Times New Roman" w:cs="Times New Roman"/>
                <w:color w:val="000000"/>
                <w:sz w:val="24"/>
                <w:szCs w:val="24"/>
                <w:lang w:eastAsia="hr-HR"/>
              </w:rPr>
              <w:t>Ovim programom želi se održavati i unaprijediti standard i kvaliteta usluga koje se pružaju korisnicima te osigurati redovito poslovanje Doma-osiguranim sredstvima izvršiti nabavu roba i usluga, te zbrinjavanje i skrb o starijim osobama podići na višu razinu.</w:t>
            </w:r>
          </w:p>
          <w:p w:rsidR="0035082C" w:rsidRPr="0035082C" w:rsidRDefault="0035082C" w:rsidP="0035082C">
            <w:pPr>
              <w:spacing w:after="120" w:line="240" w:lineRule="auto"/>
              <w:jc w:val="both"/>
              <w:rPr>
                <w:rFonts w:ascii="Times New Roman" w:eastAsia="Times New Roman" w:hAnsi="Times New Roman" w:cs="Times New Roman"/>
                <w:b/>
                <w:sz w:val="24"/>
                <w:szCs w:val="24"/>
                <w:lang w:eastAsia="hr-HR"/>
              </w:rPr>
            </w:pPr>
            <w:r w:rsidRPr="0035082C">
              <w:rPr>
                <w:rFonts w:ascii="Times New Roman" w:eastAsia="Times New Roman" w:hAnsi="Times New Roman" w:cs="Times New Roman"/>
                <w:sz w:val="24"/>
                <w:szCs w:val="24"/>
                <w:lang w:eastAsia="hr-HR"/>
              </w:rPr>
              <w:t>Odlukom o kriterijima, mjerilima i načinu financiranja domova za starije osobe utvrđuje se godišnja visina sredstava za decentralizirano financiranje po slijedećim skupinama rashoda: rashodi za zaposlene, materijalni i financijski rashodi, rashodi za nabavu nefinancijske imovine i za hitne intervencije. Prema Uputi Ministarstva financija ukupan iznos sredstava za decentralizirano financira</w:t>
            </w:r>
            <w:r w:rsidR="00034333">
              <w:rPr>
                <w:rFonts w:ascii="Times New Roman" w:eastAsia="Times New Roman" w:hAnsi="Times New Roman" w:cs="Times New Roman"/>
                <w:sz w:val="24"/>
                <w:szCs w:val="24"/>
                <w:lang w:eastAsia="hr-HR"/>
              </w:rPr>
              <w:t>nje u Financijskom planu za 2024</w:t>
            </w:r>
            <w:r w:rsidRPr="0035082C">
              <w:rPr>
                <w:rFonts w:ascii="Times New Roman" w:eastAsia="Times New Roman" w:hAnsi="Times New Roman" w:cs="Times New Roman"/>
                <w:sz w:val="24"/>
                <w:szCs w:val="24"/>
                <w:lang w:eastAsia="hr-HR"/>
              </w:rPr>
              <w:t xml:space="preserve">. </w:t>
            </w:r>
            <w:r w:rsidR="00034333">
              <w:rPr>
                <w:rFonts w:ascii="Times New Roman" w:eastAsia="Times New Roman" w:hAnsi="Times New Roman" w:cs="Times New Roman"/>
                <w:sz w:val="24"/>
                <w:szCs w:val="24"/>
                <w:lang w:eastAsia="hr-HR"/>
              </w:rPr>
              <w:t>g</w:t>
            </w:r>
            <w:r w:rsidRPr="0035082C">
              <w:rPr>
                <w:rFonts w:ascii="Times New Roman" w:eastAsia="Times New Roman" w:hAnsi="Times New Roman" w:cs="Times New Roman"/>
                <w:sz w:val="24"/>
                <w:szCs w:val="24"/>
                <w:lang w:eastAsia="hr-HR"/>
              </w:rPr>
              <w:t>odinu</w:t>
            </w:r>
            <w:r w:rsidR="00034333">
              <w:rPr>
                <w:rFonts w:ascii="Times New Roman" w:eastAsia="Times New Roman" w:hAnsi="Times New Roman" w:cs="Times New Roman"/>
                <w:sz w:val="24"/>
                <w:szCs w:val="24"/>
                <w:lang w:eastAsia="hr-HR"/>
              </w:rPr>
              <w:t xml:space="preserve"> povećan je</w:t>
            </w:r>
            <w:r w:rsidR="001C3DC5">
              <w:rPr>
                <w:rFonts w:ascii="Times New Roman" w:eastAsia="Times New Roman" w:hAnsi="Times New Roman" w:cs="Times New Roman"/>
                <w:sz w:val="24"/>
                <w:szCs w:val="24"/>
                <w:lang w:eastAsia="hr-HR"/>
              </w:rPr>
              <w:t xml:space="preserve"> najprije</w:t>
            </w:r>
            <w:r w:rsidR="00034333">
              <w:rPr>
                <w:rFonts w:ascii="Times New Roman" w:eastAsia="Times New Roman" w:hAnsi="Times New Roman" w:cs="Times New Roman"/>
                <w:sz w:val="24"/>
                <w:szCs w:val="24"/>
                <w:lang w:eastAsia="hr-HR"/>
              </w:rPr>
              <w:t xml:space="preserve"> za 3%</w:t>
            </w:r>
            <w:r w:rsidR="001C3DC5">
              <w:rPr>
                <w:rFonts w:ascii="Times New Roman" w:eastAsia="Times New Roman" w:hAnsi="Times New Roman" w:cs="Times New Roman"/>
                <w:sz w:val="24"/>
                <w:szCs w:val="24"/>
                <w:lang w:eastAsia="hr-HR"/>
              </w:rPr>
              <w:t>, a kasnije je Odlukom utvrđeno povećanje od dodatnih 2%</w:t>
            </w:r>
            <w:r w:rsidR="00034333">
              <w:rPr>
                <w:rFonts w:ascii="Times New Roman" w:eastAsia="Times New Roman" w:hAnsi="Times New Roman" w:cs="Times New Roman"/>
                <w:sz w:val="24"/>
                <w:szCs w:val="24"/>
                <w:lang w:eastAsia="hr-HR"/>
              </w:rPr>
              <w:t xml:space="preserve"> u odnosu na 2023. godinu</w:t>
            </w:r>
            <w:r w:rsidRPr="0035082C">
              <w:rPr>
                <w:rFonts w:ascii="Times New Roman" w:eastAsia="Times New Roman" w:hAnsi="Times New Roman" w:cs="Times New Roman"/>
                <w:sz w:val="24"/>
                <w:szCs w:val="24"/>
                <w:lang w:eastAsia="hr-HR"/>
              </w:rPr>
              <w:t>. Planirani prihodi za posebne namjene planiraju se temeljem cijene usluge smještaja korisnika.</w:t>
            </w:r>
          </w:p>
          <w:p w:rsidR="0035082C" w:rsidRPr="0035082C" w:rsidRDefault="0035082C" w:rsidP="0035082C">
            <w:pPr>
              <w:spacing w:after="120" w:line="240" w:lineRule="auto"/>
              <w:jc w:val="both"/>
              <w:rPr>
                <w:rFonts w:ascii="Times New Roman" w:eastAsia="Times New Roman" w:hAnsi="Times New Roman" w:cs="Times New Roman"/>
                <w:b/>
                <w:sz w:val="24"/>
                <w:szCs w:val="24"/>
                <w:lang w:eastAsia="hr-HR"/>
              </w:rPr>
            </w:pPr>
            <w:r w:rsidRPr="0035082C">
              <w:rPr>
                <w:rFonts w:ascii="Times New Roman" w:eastAsia="Times New Roman" w:hAnsi="Times New Roman" w:cs="Times New Roman"/>
                <w:color w:val="000000"/>
                <w:sz w:val="24"/>
                <w:szCs w:val="24"/>
                <w:lang w:eastAsia="hr-HR"/>
              </w:rPr>
              <w:t>Pravovremeno sklapanje ugovora o opskrbi radi nabave roba i usluga koji su preduvjet pravovremene opskrbe Doma, kao i pravovremeno plaćanje svih pristiglih obveza po računima radi osiguravanja neometanog poslovanja Doma. Pravovremena isplata plaća i ostalih materijalnih prava radnicima. Osiguranje prihoda za redovito poslovanje Doma.</w:t>
            </w:r>
          </w:p>
        </w:tc>
      </w:tr>
      <w:tr w:rsidR="0035082C" w:rsidRPr="0035082C" w:rsidTr="00A11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177"/>
          <w:tblCellSpacing w:w="20" w:type="dxa"/>
          <w:jc w:val="center"/>
        </w:trPr>
        <w:tc>
          <w:tcPr>
            <w:tcW w:w="10119" w:type="dxa"/>
            <w:tcBorders>
              <w:top w:val="dotted" w:sz="4" w:space="0" w:color="auto"/>
              <w:left w:val="single" w:sz="4" w:space="0" w:color="A6A6A6"/>
              <w:bottom w:val="dotted" w:sz="4" w:space="0" w:color="auto"/>
              <w:right w:val="single" w:sz="4" w:space="0" w:color="A6A6A6"/>
            </w:tcBorders>
            <w:shd w:val="clear" w:color="auto" w:fill="auto"/>
          </w:tcPr>
          <w:p w:rsidR="0035082C" w:rsidRPr="00C542F9" w:rsidRDefault="0035082C" w:rsidP="0035082C">
            <w:pPr>
              <w:spacing w:before="120" w:after="120" w:line="240" w:lineRule="auto"/>
              <w:jc w:val="both"/>
              <w:rPr>
                <w:rFonts w:ascii="Arial" w:eastAsia="Times New Roman" w:hAnsi="Arial" w:cs="Arial"/>
                <w:b/>
                <w:bCs/>
                <w:sz w:val="18"/>
                <w:szCs w:val="18"/>
                <w:lang w:eastAsia="hr-HR"/>
              </w:rPr>
            </w:pPr>
            <w:r w:rsidRPr="00C542F9">
              <w:rPr>
                <w:rFonts w:ascii="Arial" w:eastAsia="Times New Roman" w:hAnsi="Arial" w:cs="Arial"/>
                <w:b/>
                <w:bCs/>
                <w:sz w:val="18"/>
                <w:szCs w:val="18"/>
                <w:lang w:eastAsia="hr-HR"/>
              </w:rPr>
              <w:t>ZAKONSKA I DRUGA PODLOGA ZA UVOĐENJE PROGRAMA:</w:t>
            </w:r>
          </w:p>
          <w:p w:rsidR="0035082C" w:rsidRPr="00E04AB9" w:rsidRDefault="0035082C" w:rsidP="0035082C">
            <w:pPr>
              <w:spacing w:before="60" w:after="0" w:line="240" w:lineRule="auto"/>
              <w:jc w:val="both"/>
              <w:rPr>
                <w:rFonts w:ascii="Arial" w:eastAsia="Times New Roman" w:hAnsi="Arial" w:cs="Arial"/>
                <w:color w:val="FF0000"/>
                <w:sz w:val="18"/>
                <w:szCs w:val="18"/>
                <w:lang w:eastAsia="hr-HR"/>
              </w:rPr>
            </w:pPr>
            <w:r w:rsidRPr="00C542F9">
              <w:rPr>
                <w:rFonts w:ascii="Times New Roman" w:eastAsia="Times New Roman" w:hAnsi="Times New Roman" w:cs="Times New Roman"/>
                <w:sz w:val="24"/>
                <w:szCs w:val="24"/>
                <w:lang w:eastAsia="hr-HR"/>
              </w:rPr>
              <w:t>Namjenska sredstva planirana su u Proračunu Županije temeljem Zakona o socijalnoj skrbi, Odluke o minimalnim financijskim standardima, kriterijima i mjerilima za decentralizirano financiranje domova z</w:t>
            </w:r>
            <w:r w:rsidR="00034333">
              <w:rPr>
                <w:rFonts w:ascii="Times New Roman" w:eastAsia="Times New Roman" w:hAnsi="Times New Roman" w:cs="Times New Roman"/>
                <w:sz w:val="24"/>
                <w:szCs w:val="24"/>
                <w:lang w:eastAsia="hr-HR"/>
              </w:rPr>
              <w:t>a starije i nemoćne osobe u 2024</w:t>
            </w:r>
            <w:r w:rsidRPr="00C542F9">
              <w:rPr>
                <w:rFonts w:ascii="Times New Roman" w:eastAsia="Times New Roman" w:hAnsi="Times New Roman" w:cs="Times New Roman"/>
                <w:sz w:val="24"/>
                <w:szCs w:val="24"/>
                <w:lang w:eastAsia="hr-HR"/>
              </w:rPr>
              <w:t>. godini, Uredbe o načinu financiranja decentraliziranih funkcija te izračuna iznosa pomoći izravnanja za decentral</w:t>
            </w:r>
            <w:r w:rsidR="00034333">
              <w:rPr>
                <w:rFonts w:ascii="Times New Roman" w:eastAsia="Times New Roman" w:hAnsi="Times New Roman" w:cs="Times New Roman"/>
                <w:sz w:val="24"/>
                <w:szCs w:val="24"/>
                <w:lang w:eastAsia="hr-HR"/>
              </w:rPr>
              <w:t>izirane funkcije JLP(R)S za 2024</w:t>
            </w:r>
            <w:r w:rsidRPr="00C542F9">
              <w:rPr>
                <w:rFonts w:ascii="Times New Roman" w:eastAsia="Times New Roman" w:hAnsi="Times New Roman" w:cs="Times New Roman"/>
                <w:sz w:val="24"/>
                <w:szCs w:val="24"/>
                <w:lang w:eastAsia="hr-HR"/>
              </w:rPr>
              <w:t>. godinu, kao i drugih zakons</w:t>
            </w:r>
            <w:r w:rsidR="00C542F9" w:rsidRPr="00C542F9">
              <w:rPr>
                <w:rFonts w:ascii="Times New Roman" w:eastAsia="Times New Roman" w:hAnsi="Times New Roman" w:cs="Times New Roman"/>
                <w:sz w:val="24"/>
                <w:szCs w:val="24"/>
                <w:lang w:eastAsia="hr-HR"/>
              </w:rPr>
              <w:t>kih i podzakonskih akata.</w:t>
            </w:r>
          </w:p>
        </w:tc>
      </w:tr>
      <w:tr w:rsidR="0035082C" w:rsidRPr="0035082C" w:rsidTr="00A11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193"/>
          <w:tblCellSpacing w:w="20" w:type="dxa"/>
          <w:jc w:val="center"/>
        </w:trPr>
        <w:tc>
          <w:tcPr>
            <w:tcW w:w="10119" w:type="dxa"/>
            <w:tcBorders>
              <w:top w:val="dotted" w:sz="4" w:space="0" w:color="auto"/>
              <w:left w:val="single" w:sz="4" w:space="0" w:color="A6A6A6"/>
              <w:bottom w:val="dotted" w:sz="4" w:space="0" w:color="auto"/>
              <w:right w:val="single" w:sz="4" w:space="0" w:color="A6A6A6"/>
            </w:tcBorders>
            <w:shd w:val="clear" w:color="auto" w:fill="auto"/>
          </w:tcPr>
          <w:p w:rsidR="0035082C" w:rsidRPr="00037E1A" w:rsidRDefault="0035082C" w:rsidP="0035082C">
            <w:pPr>
              <w:spacing w:before="120" w:after="0" w:line="240" w:lineRule="auto"/>
              <w:jc w:val="both"/>
              <w:rPr>
                <w:rFonts w:ascii="Arial" w:eastAsia="Times New Roman" w:hAnsi="Arial" w:cs="Arial"/>
                <w:b/>
                <w:bCs/>
                <w:sz w:val="18"/>
                <w:szCs w:val="18"/>
                <w:lang w:eastAsia="hr-HR"/>
              </w:rPr>
            </w:pPr>
            <w:r w:rsidRPr="00037E1A">
              <w:rPr>
                <w:rFonts w:ascii="Arial" w:eastAsia="Times New Roman" w:hAnsi="Arial" w:cs="Arial"/>
                <w:b/>
                <w:bCs/>
                <w:sz w:val="18"/>
                <w:szCs w:val="18"/>
                <w:lang w:eastAsia="hr-HR"/>
              </w:rPr>
              <w:t xml:space="preserve">PROCJENA I ISHODIŠTE POTREBNIH SREDSTAVA: </w:t>
            </w:r>
          </w:p>
          <w:p w:rsidR="0035082C" w:rsidRPr="00B24F5B" w:rsidRDefault="0035082C" w:rsidP="0035082C">
            <w:pPr>
              <w:spacing w:before="120" w:after="120" w:line="240" w:lineRule="auto"/>
              <w:jc w:val="both"/>
              <w:rPr>
                <w:rFonts w:ascii="Times New Roman" w:eastAsia="Times New Roman" w:hAnsi="Times New Roman" w:cs="Times New Roman"/>
                <w:sz w:val="24"/>
                <w:szCs w:val="24"/>
                <w:lang w:eastAsia="hr-HR"/>
              </w:rPr>
            </w:pPr>
            <w:r w:rsidRPr="00B24F5B">
              <w:rPr>
                <w:rFonts w:ascii="Times New Roman" w:eastAsia="Times New Roman" w:hAnsi="Times New Roman" w:cs="Times New Roman"/>
                <w:sz w:val="24"/>
                <w:szCs w:val="24"/>
                <w:lang w:eastAsia="hr-HR"/>
              </w:rPr>
              <w:t>Unutar programa planiraju se slijedeće aktivnosti/projekti:</w:t>
            </w:r>
          </w:p>
          <w:tbl>
            <w:tblPr>
              <w:tblW w:w="962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057"/>
              <w:gridCol w:w="3712"/>
              <w:gridCol w:w="1537"/>
              <w:gridCol w:w="1660"/>
              <w:gridCol w:w="1660"/>
            </w:tblGrid>
            <w:tr w:rsidR="00E04AB9" w:rsidRPr="00E04AB9" w:rsidTr="002A7F66">
              <w:trPr>
                <w:trHeight w:val="209"/>
                <w:jc w:val="center"/>
              </w:trPr>
              <w:tc>
                <w:tcPr>
                  <w:tcW w:w="1057" w:type="dxa"/>
                  <w:shd w:val="clear" w:color="auto" w:fill="E6E6E6"/>
                  <w:vAlign w:val="center"/>
                </w:tcPr>
                <w:p w:rsidR="0035082C" w:rsidRPr="00037E1A" w:rsidRDefault="0035082C" w:rsidP="0035082C">
                  <w:pPr>
                    <w:spacing w:after="0" w:line="240" w:lineRule="auto"/>
                    <w:jc w:val="center"/>
                    <w:rPr>
                      <w:rFonts w:ascii="Arial" w:eastAsia="Times New Roman" w:hAnsi="Arial" w:cs="Arial"/>
                      <w:b/>
                      <w:bCs/>
                      <w:sz w:val="18"/>
                      <w:szCs w:val="18"/>
                      <w:lang w:eastAsia="hr-HR"/>
                    </w:rPr>
                  </w:pPr>
                  <w:r w:rsidRPr="00037E1A">
                    <w:rPr>
                      <w:rFonts w:ascii="Arial" w:eastAsia="Times New Roman" w:hAnsi="Arial" w:cs="Arial"/>
                      <w:b/>
                      <w:bCs/>
                      <w:sz w:val="18"/>
                      <w:szCs w:val="18"/>
                      <w:lang w:eastAsia="hr-HR"/>
                    </w:rPr>
                    <w:t>R.b.</w:t>
                  </w:r>
                </w:p>
              </w:tc>
              <w:tc>
                <w:tcPr>
                  <w:tcW w:w="3712" w:type="dxa"/>
                  <w:shd w:val="clear" w:color="auto" w:fill="E6E6E6"/>
                  <w:vAlign w:val="center"/>
                </w:tcPr>
                <w:p w:rsidR="0035082C" w:rsidRPr="00037E1A" w:rsidRDefault="0035082C" w:rsidP="0035082C">
                  <w:pPr>
                    <w:spacing w:after="0" w:line="240" w:lineRule="auto"/>
                    <w:ind w:firstLine="709"/>
                    <w:jc w:val="center"/>
                    <w:rPr>
                      <w:rFonts w:ascii="Arial" w:eastAsia="Times New Roman" w:hAnsi="Arial" w:cs="Arial"/>
                      <w:b/>
                      <w:bCs/>
                      <w:sz w:val="18"/>
                      <w:szCs w:val="18"/>
                      <w:lang w:eastAsia="hr-HR"/>
                    </w:rPr>
                  </w:pPr>
                  <w:r w:rsidRPr="00037E1A">
                    <w:rPr>
                      <w:rFonts w:ascii="Arial" w:eastAsia="Times New Roman" w:hAnsi="Arial" w:cs="Arial"/>
                      <w:b/>
                      <w:bCs/>
                      <w:sz w:val="18"/>
                      <w:szCs w:val="18"/>
                      <w:lang w:eastAsia="hr-HR"/>
                    </w:rPr>
                    <w:t>Naziv aktivnosti/projekta</w:t>
                  </w:r>
                </w:p>
              </w:tc>
              <w:tc>
                <w:tcPr>
                  <w:tcW w:w="1537" w:type="dxa"/>
                  <w:shd w:val="clear" w:color="auto" w:fill="E6E6E6"/>
                  <w:vAlign w:val="center"/>
                </w:tcPr>
                <w:p w:rsidR="0035082C" w:rsidRPr="0095576A" w:rsidRDefault="00757F21" w:rsidP="0035082C">
                  <w:pPr>
                    <w:keepNext/>
                    <w:spacing w:after="0" w:line="240" w:lineRule="auto"/>
                    <w:jc w:val="center"/>
                    <w:outlineLvl w:val="6"/>
                    <w:rPr>
                      <w:rFonts w:ascii="Arial" w:eastAsia="Times New Roman" w:hAnsi="Arial" w:cs="Arial"/>
                      <w:b/>
                      <w:bCs/>
                      <w:sz w:val="18"/>
                      <w:szCs w:val="18"/>
                      <w:lang w:eastAsia="x-none"/>
                    </w:rPr>
                  </w:pPr>
                  <w:r w:rsidRPr="0095576A">
                    <w:rPr>
                      <w:rFonts w:ascii="Arial" w:eastAsia="Times New Roman" w:hAnsi="Arial" w:cs="Arial"/>
                      <w:b/>
                      <w:bCs/>
                      <w:sz w:val="18"/>
                      <w:szCs w:val="18"/>
                      <w:lang w:val="x-none" w:eastAsia="x-none"/>
                    </w:rPr>
                    <w:t>Plan</w:t>
                  </w:r>
                  <w:r w:rsidR="007416F9">
                    <w:rPr>
                      <w:rFonts w:ascii="Arial" w:eastAsia="Times New Roman" w:hAnsi="Arial" w:cs="Arial"/>
                      <w:b/>
                      <w:bCs/>
                      <w:sz w:val="18"/>
                      <w:szCs w:val="18"/>
                      <w:lang w:eastAsia="x-none"/>
                    </w:rPr>
                    <w:t xml:space="preserve"> 2024</w:t>
                  </w:r>
                  <w:r w:rsidRPr="0095576A">
                    <w:rPr>
                      <w:rFonts w:ascii="Arial" w:eastAsia="Times New Roman" w:hAnsi="Arial" w:cs="Arial"/>
                      <w:b/>
                      <w:bCs/>
                      <w:sz w:val="18"/>
                      <w:szCs w:val="18"/>
                      <w:lang w:eastAsia="x-none"/>
                    </w:rPr>
                    <w:t>.</w:t>
                  </w:r>
                </w:p>
              </w:tc>
              <w:tc>
                <w:tcPr>
                  <w:tcW w:w="1660" w:type="dxa"/>
                  <w:shd w:val="clear" w:color="auto" w:fill="E6E6E6"/>
                  <w:vAlign w:val="center"/>
                </w:tcPr>
                <w:p w:rsidR="007416F9" w:rsidRPr="007416F9" w:rsidRDefault="00B24F5B" w:rsidP="00B24F5B">
                  <w:pPr>
                    <w:keepNext/>
                    <w:spacing w:after="0" w:line="240" w:lineRule="auto"/>
                    <w:jc w:val="center"/>
                    <w:outlineLvl w:val="6"/>
                    <w:rPr>
                      <w:rFonts w:ascii="Arial" w:eastAsia="Times New Roman" w:hAnsi="Arial" w:cs="Arial"/>
                      <w:b/>
                      <w:bCs/>
                      <w:sz w:val="18"/>
                      <w:szCs w:val="18"/>
                      <w:lang w:eastAsia="x-none"/>
                    </w:rPr>
                  </w:pPr>
                  <w:r>
                    <w:rPr>
                      <w:rFonts w:ascii="Arial" w:eastAsia="Times New Roman" w:hAnsi="Arial" w:cs="Arial"/>
                      <w:b/>
                      <w:bCs/>
                      <w:sz w:val="18"/>
                      <w:szCs w:val="18"/>
                      <w:lang w:eastAsia="x-none"/>
                    </w:rPr>
                    <w:t>Povećanje/ smanjenje</w:t>
                  </w:r>
                </w:p>
              </w:tc>
              <w:tc>
                <w:tcPr>
                  <w:tcW w:w="1660" w:type="dxa"/>
                  <w:shd w:val="clear" w:color="auto" w:fill="E6E6E6"/>
                  <w:vAlign w:val="center"/>
                </w:tcPr>
                <w:p w:rsidR="0035082C" w:rsidRPr="0095576A" w:rsidRDefault="00B24F5B" w:rsidP="00B24F5B">
                  <w:pPr>
                    <w:keepNext/>
                    <w:spacing w:after="0" w:line="240" w:lineRule="auto"/>
                    <w:jc w:val="center"/>
                    <w:outlineLvl w:val="6"/>
                    <w:rPr>
                      <w:rFonts w:ascii="Arial" w:eastAsia="Times New Roman" w:hAnsi="Arial" w:cs="Arial"/>
                      <w:b/>
                      <w:bCs/>
                      <w:sz w:val="18"/>
                      <w:szCs w:val="18"/>
                      <w:lang w:eastAsia="x-none"/>
                    </w:rPr>
                  </w:pPr>
                  <w:r>
                    <w:rPr>
                      <w:rFonts w:ascii="Arial" w:eastAsia="Times New Roman" w:hAnsi="Arial" w:cs="Arial"/>
                      <w:b/>
                      <w:bCs/>
                      <w:sz w:val="18"/>
                      <w:szCs w:val="18"/>
                      <w:lang w:eastAsia="x-none"/>
                    </w:rPr>
                    <w:t>Novi Plan 2024.</w:t>
                  </w:r>
                </w:p>
              </w:tc>
            </w:tr>
            <w:tr w:rsidR="00E04AB9" w:rsidRPr="00E04AB9" w:rsidTr="002A7F66">
              <w:trPr>
                <w:trHeight w:val="296"/>
                <w:jc w:val="center"/>
              </w:trPr>
              <w:tc>
                <w:tcPr>
                  <w:tcW w:w="1057" w:type="dxa"/>
                  <w:shd w:val="clear" w:color="auto" w:fill="auto"/>
                  <w:vAlign w:val="center"/>
                </w:tcPr>
                <w:p w:rsidR="0035082C" w:rsidRPr="006F6BAE" w:rsidRDefault="0035082C" w:rsidP="0035082C">
                  <w:pPr>
                    <w:spacing w:after="0" w:line="240" w:lineRule="auto"/>
                    <w:jc w:val="center"/>
                    <w:rPr>
                      <w:rFonts w:ascii="Arial" w:eastAsia="Times New Roman" w:hAnsi="Arial" w:cs="Arial"/>
                      <w:sz w:val="18"/>
                      <w:szCs w:val="18"/>
                      <w:lang w:eastAsia="hr-HR"/>
                    </w:rPr>
                  </w:pPr>
                  <w:r w:rsidRPr="006F6BAE">
                    <w:rPr>
                      <w:rFonts w:ascii="Arial" w:eastAsia="Times New Roman" w:hAnsi="Arial" w:cs="Arial"/>
                      <w:sz w:val="18"/>
                      <w:szCs w:val="18"/>
                      <w:lang w:eastAsia="hr-HR"/>
                    </w:rPr>
                    <w:t>01.</w:t>
                  </w:r>
                </w:p>
              </w:tc>
              <w:tc>
                <w:tcPr>
                  <w:tcW w:w="3712" w:type="dxa"/>
                  <w:shd w:val="clear" w:color="auto" w:fill="auto"/>
                  <w:vAlign w:val="center"/>
                </w:tcPr>
                <w:p w:rsidR="0035082C" w:rsidRPr="0095576A" w:rsidRDefault="0035082C" w:rsidP="0035082C">
                  <w:pPr>
                    <w:spacing w:after="0" w:line="240" w:lineRule="auto"/>
                    <w:jc w:val="both"/>
                    <w:rPr>
                      <w:rFonts w:ascii="Arial" w:eastAsia="Times New Roman" w:hAnsi="Arial" w:cs="Arial"/>
                      <w:sz w:val="18"/>
                      <w:szCs w:val="18"/>
                      <w:lang w:eastAsia="hr-HR"/>
                    </w:rPr>
                  </w:pPr>
                  <w:r w:rsidRPr="0095576A">
                    <w:rPr>
                      <w:rFonts w:ascii="Arial" w:eastAsia="Times New Roman" w:hAnsi="Arial" w:cs="Arial"/>
                      <w:sz w:val="18"/>
                      <w:szCs w:val="18"/>
                      <w:lang w:eastAsia="hr-HR"/>
                    </w:rPr>
                    <w:t>Stručno i administrativno osoblje</w:t>
                  </w:r>
                </w:p>
              </w:tc>
              <w:tc>
                <w:tcPr>
                  <w:tcW w:w="1537" w:type="dxa"/>
                  <w:vAlign w:val="center"/>
                </w:tcPr>
                <w:p w:rsidR="00EC60EC" w:rsidRPr="0095576A" w:rsidRDefault="00EC60EC" w:rsidP="00EC60EC">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3.053.780</w:t>
                  </w:r>
                </w:p>
              </w:tc>
              <w:tc>
                <w:tcPr>
                  <w:tcW w:w="1660" w:type="dxa"/>
                  <w:vAlign w:val="center"/>
                </w:tcPr>
                <w:p w:rsidR="0035082C" w:rsidRPr="0095576A" w:rsidRDefault="005E7787" w:rsidP="0035082C">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8</w:t>
                  </w:r>
                  <w:r w:rsidR="000F18E3">
                    <w:rPr>
                      <w:rFonts w:ascii="Arial" w:eastAsia="Times New Roman" w:hAnsi="Arial" w:cs="Arial"/>
                      <w:sz w:val="18"/>
                      <w:szCs w:val="18"/>
                      <w:lang w:eastAsia="hr-HR"/>
                    </w:rPr>
                    <w:t>61.332</w:t>
                  </w:r>
                </w:p>
              </w:tc>
              <w:tc>
                <w:tcPr>
                  <w:tcW w:w="1660" w:type="dxa"/>
                  <w:shd w:val="clear" w:color="auto" w:fill="auto"/>
                  <w:vAlign w:val="center"/>
                </w:tcPr>
                <w:p w:rsidR="0035082C" w:rsidRPr="0095576A" w:rsidRDefault="005E7787" w:rsidP="0035082C">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3.9</w:t>
                  </w:r>
                  <w:r w:rsidR="000F18E3">
                    <w:rPr>
                      <w:rFonts w:ascii="Arial" w:eastAsia="Times New Roman" w:hAnsi="Arial" w:cs="Arial"/>
                      <w:sz w:val="18"/>
                      <w:szCs w:val="18"/>
                      <w:lang w:eastAsia="hr-HR"/>
                    </w:rPr>
                    <w:t>15.112</w:t>
                  </w:r>
                </w:p>
              </w:tc>
            </w:tr>
            <w:tr w:rsidR="00E04AB9" w:rsidRPr="00E04AB9" w:rsidTr="002A7F66">
              <w:trPr>
                <w:trHeight w:val="265"/>
                <w:jc w:val="center"/>
              </w:trPr>
              <w:tc>
                <w:tcPr>
                  <w:tcW w:w="1057" w:type="dxa"/>
                  <w:shd w:val="clear" w:color="auto" w:fill="auto"/>
                  <w:vAlign w:val="center"/>
                </w:tcPr>
                <w:p w:rsidR="0035082C" w:rsidRPr="006F6BAE" w:rsidRDefault="0035082C" w:rsidP="0035082C">
                  <w:pPr>
                    <w:spacing w:after="0" w:line="240" w:lineRule="auto"/>
                    <w:jc w:val="center"/>
                    <w:rPr>
                      <w:rFonts w:ascii="Arial" w:eastAsia="Times New Roman" w:hAnsi="Arial" w:cs="Arial"/>
                      <w:sz w:val="18"/>
                      <w:szCs w:val="18"/>
                      <w:lang w:eastAsia="hr-HR"/>
                    </w:rPr>
                  </w:pPr>
                  <w:r w:rsidRPr="006F6BAE">
                    <w:rPr>
                      <w:rFonts w:ascii="Arial" w:eastAsia="Times New Roman" w:hAnsi="Arial" w:cs="Arial"/>
                      <w:sz w:val="18"/>
                      <w:szCs w:val="18"/>
                      <w:lang w:eastAsia="hr-HR"/>
                    </w:rPr>
                    <w:t>02.</w:t>
                  </w:r>
                </w:p>
              </w:tc>
              <w:tc>
                <w:tcPr>
                  <w:tcW w:w="3712" w:type="dxa"/>
                  <w:shd w:val="clear" w:color="auto" w:fill="auto"/>
                  <w:vAlign w:val="center"/>
                </w:tcPr>
                <w:p w:rsidR="0035082C" w:rsidRPr="0095576A" w:rsidRDefault="0035082C" w:rsidP="0035082C">
                  <w:pPr>
                    <w:spacing w:after="0" w:line="240" w:lineRule="auto"/>
                    <w:jc w:val="both"/>
                    <w:rPr>
                      <w:rFonts w:ascii="Arial" w:eastAsia="Times New Roman" w:hAnsi="Arial" w:cs="Arial"/>
                      <w:sz w:val="18"/>
                      <w:szCs w:val="18"/>
                      <w:lang w:eastAsia="hr-HR"/>
                    </w:rPr>
                  </w:pPr>
                  <w:r w:rsidRPr="0095576A">
                    <w:rPr>
                      <w:rFonts w:ascii="Arial" w:eastAsia="Times New Roman" w:hAnsi="Arial" w:cs="Arial"/>
                      <w:sz w:val="18"/>
                      <w:szCs w:val="18"/>
                      <w:lang w:eastAsia="hr-HR"/>
                    </w:rPr>
                    <w:t>Otplata kredita za Energetsku obnovu Doma</w:t>
                  </w:r>
                </w:p>
              </w:tc>
              <w:tc>
                <w:tcPr>
                  <w:tcW w:w="1537" w:type="dxa"/>
                  <w:vAlign w:val="center"/>
                </w:tcPr>
                <w:p w:rsidR="0035082C" w:rsidRPr="0095576A" w:rsidRDefault="00EC60EC" w:rsidP="0035082C">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115.467</w:t>
                  </w:r>
                </w:p>
              </w:tc>
              <w:tc>
                <w:tcPr>
                  <w:tcW w:w="1660" w:type="dxa"/>
                  <w:vAlign w:val="center"/>
                </w:tcPr>
                <w:p w:rsidR="0035082C" w:rsidRPr="0095576A" w:rsidRDefault="000F18E3" w:rsidP="0035082C">
                  <w:pPr>
                    <w:spacing w:after="0" w:line="240" w:lineRule="auto"/>
                    <w:ind w:firstLine="709"/>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660" w:type="dxa"/>
                  <w:shd w:val="clear" w:color="auto" w:fill="auto"/>
                  <w:vAlign w:val="center"/>
                </w:tcPr>
                <w:p w:rsidR="0035082C" w:rsidRPr="0095576A" w:rsidRDefault="000F18E3" w:rsidP="0035082C">
                  <w:pPr>
                    <w:spacing w:after="0" w:line="240" w:lineRule="auto"/>
                    <w:ind w:firstLine="709"/>
                    <w:jc w:val="right"/>
                    <w:rPr>
                      <w:rFonts w:ascii="Arial" w:eastAsia="Times New Roman" w:hAnsi="Arial" w:cs="Arial"/>
                      <w:sz w:val="18"/>
                      <w:szCs w:val="18"/>
                      <w:lang w:eastAsia="hr-HR"/>
                    </w:rPr>
                  </w:pPr>
                  <w:r>
                    <w:rPr>
                      <w:rFonts w:ascii="Arial" w:eastAsia="Times New Roman" w:hAnsi="Arial" w:cs="Arial"/>
                      <w:sz w:val="18"/>
                      <w:szCs w:val="18"/>
                      <w:lang w:eastAsia="hr-HR"/>
                    </w:rPr>
                    <w:t>115.467</w:t>
                  </w:r>
                </w:p>
              </w:tc>
            </w:tr>
            <w:tr w:rsidR="00E04AB9" w:rsidRPr="00E04AB9" w:rsidTr="002A7F66">
              <w:trPr>
                <w:trHeight w:val="265"/>
                <w:jc w:val="center"/>
              </w:trPr>
              <w:tc>
                <w:tcPr>
                  <w:tcW w:w="1057" w:type="dxa"/>
                  <w:shd w:val="clear" w:color="auto" w:fill="auto"/>
                  <w:vAlign w:val="center"/>
                </w:tcPr>
                <w:p w:rsidR="0035082C" w:rsidRPr="006F6BAE" w:rsidRDefault="0035082C" w:rsidP="0035082C">
                  <w:pPr>
                    <w:spacing w:after="0" w:line="240" w:lineRule="auto"/>
                    <w:jc w:val="center"/>
                    <w:rPr>
                      <w:rFonts w:ascii="Arial" w:eastAsia="Times New Roman" w:hAnsi="Arial" w:cs="Arial"/>
                      <w:sz w:val="18"/>
                      <w:szCs w:val="18"/>
                      <w:lang w:eastAsia="hr-HR"/>
                    </w:rPr>
                  </w:pPr>
                  <w:r w:rsidRPr="006F6BAE">
                    <w:rPr>
                      <w:rFonts w:ascii="Arial" w:eastAsia="Times New Roman" w:hAnsi="Arial" w:cs="Arial"/>
                      <w:sz w:val="18"/>
                      <w:szCs w:val="18"/>
                      <w:lang w:eastAsia="hr-HR"/>
                    </w:rPr>
                    <w:t>03.</w:t>
                  </w:r>
                </w:p>
              </w:tc>
              <w:tc>
                <w:tcPr>
                  <w:tcW w:w="3712" w:type="dxa"/>
                  <w:shd w:val="clear" w:color="auto" w:fill="auto"/>
                  <w:vAlign w:val="center"/>
                </w:tcPr>
                <w:p w:rsidR="0035082C" w:rsidRPr="0095576A" w:rsidRDefault="0035082C" w:rsidP="0035082C">
                  <w:pPr>
                    <w:spacing w:after="0" w:line="240" w:lineRule="auto"/>
                    <w:jc w:val="both"/>
                    <w:rPr>
                      <w:rFonts w:ascii="Arial" w:eastAsia="Times New Roman" w:hAnsi="Arial" w:cs="Arial"/>
                      <w:sz w:val="18"/>
                      <w:szCs w:val="18"/>
                      <w:lang w:eastAsia="hr-HR"/>
                    </w:rPr>
                  </w:pPr>
                  <w:r w:rsidRPr="0095576A">
                    <w:rPr>
                      <w:rFonts w:ascii="Arial" w:eastAsia="Times New Roman" w:hAnsi="Arial" w:cs="Arial"/>
                      <w:sz w:val="18"/>
                      <w:szCs w:val="18"/>
                      <w:lang w:eastAsia="hr-HR"/>
                    </w:rPr>
                    <w:t>Održavanje objekata</w:t>
                  </w:r>
                </w:p>
              </w:tc>
              <w:tc>
                <w:tcPr>
                  <w:tcW w:w="1537" w:type="dxa"/>
                  <w:vAlign w:val="center"/>
                </w:tcPr>
                <w:p w:rsidR="0035082C" w:rsidRPr="0095576A" w:rsidRDefault="00EC60EC" w:rsidP="0035082C">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198.180</w:t>
                  </w:r>
                </w:p>
              </w:tc>
              <w:tc>
                <w:tcPr>
                  <w:tcW w:w="1660" w:type="dxa"/>
                  <w:vAlign w:val="center"/>
                </w:tcPr>
                <w:p w:rsidR="0035082C" w:rsidRPr="0095576A" w:rsidRDefault="000F18E3" w:rsidP="0035082C">
                  <w:pPr>
                    <w:spacing w:after="0" w:line="240" w:lineRule="auto"/>
                    <w:ind w:firstLine="709"/>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660" w:type="dxa"/>
                  <w:shd w:val="clear" w:color="auto" w:fill="auto"/>
                  <w:vAlign w:val="center"/>
                </w:tcPr>
                <w:p w:rsidR="0035082C" w:rsidRPr="0095576A" w:rsidRDefault="000F18E3" w:rsidP="0035082C">
                  <w:pPr>
                    <w:spacing w:after="0" w:line="240" w:lineRule="auto"/>
                    <w:ind w:firstLine="709"/>
                    <w:jc w:val="right"/>
                    <w:rPr>
                      <w:rFonts w:ascii="Arial" w:eastAsia="Times New Roman" w:hAnsi="Arial" w:cs="Arial"/>
                      <w:sz w:val="18"/>
                      <w:szCs w:val="18"/>
                      <w:lang w:eastAsia="hr-HR"/>
                    </w:rPr>
                  </w:pPr>
                  <w:r>
                    <w:rPr>
                      <w:rFonts w:ascii="Arial" w:eastAsia="Times New Roman" w:hAnsi="Arial" w:cs="Arial"/>
                      <w:sz w:val="18"/>
                      <w:szCs w:val="18"/>
                      <w:lang w:eastAsia="hr-HR"/>
                    </w:rPr>
                    <w:t>198.180</w:t>
                  </w:r>
                </w:p>
              </w:tc>
            </w:tr>
            <w:tr w:rsidR="00E04AB9" w:rsidRPr="00E04AB9" w:rsidTr="002A7F66">
              <w:trPr>
                <w:trHeight w:val="351"/>
                <w:jc w:val="center"/>
              </w:trPr>
              <w:tc>
                <w:tcPr>
                  <w:tcW w:w="1057" w:type="dxa"/>
                  <w:shd w:val="clear" w:color="auto" w:fill="E6E6E6"/>
                  <w:vAlign w:val="center"/>
                </w:tcPr>
                <w:p w:rsidR="0035082C" w:rsidRPr="00E04AB9" w:rsidRDefault="0035082C" w:rsidP="0035082C">
                  <w:pPr>
                    <w:spacing w:after="0" w:line="240" w:lineRule="auto"/>
                    <w:ind w:firstLine="709"/>
                    <w:jc w:val="center"/>
                    <w:rPr>
                      <w:rFonts w:ascii="Arial" w:eastAsia="Times New Roman" w:hAnsi="Arial" w:cs="Arial"/>
                      <w:b/>
                      <w:bCs/>
                      <w:color w:val="FF0000"/>
                      <w:sz w:val="18"/>
                      <w:szCs w:val="18"/>
                      <w:lang w:eastAsia="hr-HR"/>
                    </w:rPr>
                  </w:pPr>
                </w:p>
              </w:tc>
              <w:tc>
                <w:tcPr>
                  <w:tcW w:w="3712" w:type="dxa"/>
                  <w:shd w:val="clear" w:color="auto" w:fill="E6E6E6"/>
                  <w:vAlign w:val="center"/>
                </w:tcPr>
                <w:p w:rsidR="0035082C" w:rsidRPr="0095576A" w:rsidRDefault="0035082C" w:rsidP="0035082C">
                  <w:pPr>
                    <w:spacing w:after="0" w:line="240" w:lineRule="auto"/>
                    <w:ind w:firstLine="709"/>
                    <w:jc w:val="center"/>
                    <w:rPr>
                      <w:rFonts w:ascii="Arial" w:eastAsia="Times New Roman" w:hAnsi="Arial" w:cs="Arial"/>
                      <w:b/>
                      <w:bCs/>
                      <w:sz w:val="18"/>
                      <w:szCs w:val="18"/>
                      <w:lang w:eastAsia="hr-HR"/>
                    </w:rPr>
                  </w:pPr>
                  <w:r w:rsidRPr="0095576A">
                    <w:rPr>
                      <w:rFonts w:ascii="Arial" w:eastAsia="Times New Roman" w:hAnsi="Arial" w:cs="Arial"/>
                      <w:b/>
                      <w:bCs/>
                      <w:sz w:val="18"/>
                      <w:szCs w:val="18"/>
                      <w:lang w:eastAsia="hr-HR"/>
                    </w:rPr>
                    <w:t>Ukupno program:</w:t>
                  </w:r>
                </w:p>
              </w:tc>
              <w:tc>
                <w:tcPr>
                  <w:tcW w:w="1537" w:type="dxa"/>
                  <w:shd w:val="clear" w:color="auto" w:fill="E6E6E6"/>
                  <w:vAlign w:val="center"/>
                </w:tcPr>
                <w:p w:rsidR="0035082C" w:rsidRPr="0095576A" w:rsidRDefault="00EC60EC" w:rsidP="0035082C">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3.367.427</w:t>
                  </w:r>
                </w:p>
              </w:tc>
              <w:tc>
                <w:tcPr>
                  <w:tcW w:w="1660" w:type="dxa"/>
                  <w:shd w:val="clear" w:color="auto" w:fill="E6E6E6"/>
                  <w:vAlign w:val="center"/>
                </w:tcPr>
                <w:p w:rsidR="0035082C" w:rsidRPr="0095576A" w:rsidRDefault="005E7787" w:rsidP="0035082C">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8</w:t>
                  </w:r>
                  <w:r w:rsidR="000F18E3">
                    <w:rPr>
                      <w:rFonts w:ascii="Arial" w:eastAsia="Times New Roman" w:hAnsi="Arial" w:cs="Arial"/>
                      <w:b/>
                      <w:bCs/>
                      <w:sz w:val="18"/>
                      <w:szCs w:val="18"/>
                      <w:lang w:eastAsia="hr-HR"/>
                    </w:rPr>
                    <w:t>61.332</w:t>
                  </w:r>
                </w:p>
              </w:tc>
              <w:tc>
                <w:tcPr>
                  <w:tcW w:w="1660" w:type="dxa"/>
                  <w:shd w:val="clear" w:color="auto" w:fill="E6E6E6"/>
                  <w:vAlign w:val="center"/>
                </w:tcPr>
                <w:p w:rsidR="0035082C" w:rsidRPr="0095576A" w:rsidRDefault="005E7787" w:rsidP="0035082C">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4.2</w:t>
                  </w:r>
                  <w:r w:rsidR="000F18E3">
                    <w:rPr>
                      <w:rFonts w:ascii="Arial" w:eastAsia="Times New Roman" w:hAnsi="Arial" w:cs="Arial"/>
                      <w:b/>
                      <w:bCs/>
                      <w:sz w:val="18"/>
                      <w:szCs w:val="18"/>
                      <w:lang w:eastAsia="hr-HR"/>
                    </w:rPr>
                    <w:t>28.759</w:t>
                  </w:r>
                </w:p>
              </w:tc>
            </w:tr>
          </w:tbl>
          <w:p w:rsidR="0035082C" w:rsidRPr="0035082C" w:rsidRDefault="0035082C" w:rsidP="0035082C">
            <w:pPr>
              <w:spacing w:after="0" w:line="240" w:lineRule="auto"/>
              <w:ind w:firstLine="709"/>
              <w:jc w:val="both"/>
              <w:rPr>
                <w:rFonts w:ascii="Arial" w:eastAsia="Times New Roman" w:hAnsi="Arial" w:cs="Arial"/>
                <w:sz w:val="18"/>
                <w:szCs w:val="18"/>
                <w:lang w:eastAsia="hr-HR"/>
              </w:rPr>
            </w:pPr>
          </w:p>
          <w:p w:rsidR="0035082C" w:rsidRPr="00037E1A" w:rsidRDefault="0035082C" w:rsidP="0035082C">
            <w:pPr>
              <w:spacing w:after="120" w:line="240" w:lineRule="auto"/>
              <w:jc w:val="both"/>
              <w:rPr>
                <w:rFonts w:ascii="Arial" w:eastAsia="Times New Roman" w:hAnsi="Arial" w:cs="Arial"/>
                <w:b/>
                <w:i/>
                <w:sz w:val="18"/>
                <w:szCs w:val="18"/>
                <w:lang w:eastAsia="hr-HR"/>
              </w:rPr>
            </w:pPr>
            <w:r w:rsidRPr="00037E1A">
              <w:rPr>
                <w:rFonts w:ascii="Arial" w:eastAsia="Times New Roman" w:hAnsi="Arial" w:cs="Arial"/>
                <w:b/>
                <w:i/>
                <w:sz w:val="18"/>
                <w:szCs w:val="18"/>
                <w:lang w:eastAsia="hr-HR"/>
              </w:rPr>
              <w:t>Stručno i administrativno osoblje</w:t>
            </w:r>
          </w:p>
          <w:p w:rsidR="0035082C" w:rsidRPr="00D212C3" w:rsidRDefault="0035082C" w:rsidP="0035082C">
            <w:pPr>
              <w:spacing w:after="120" w:line="240" w:lineRule="auto"/>
              <w:jc w:val="both"/>
              <w:rPr>
                <w:rFonts w:ascii="Times New Roman" w:eastAsia="Times New Roman" w:hAnsi="Times New Roman" w:cs="Times New Roman"/>
                <w:bCs/>
                <w:sz w:val="24"/>
                <w:szCs w:val="24"/>
                <w:lang w:eastAsia="hr-HR"/>
              </w:rPr>
            </w:pPr>
            <w:r w:rsidRPr="00D212C3">
              <w:rPr>
                <w:rFonts w:ascii="Times New Roman" w:eastAsia="Times New Roman" w:hAnsi="Times New Roman" w:cs="Times New Roman"/>
                <w:bCs/>
                <w:sz w:val="24"/>
                <w:szCs w:val="24"/>
                <w:lang w:eastAsia="hr-HR"/>
              </w:rPr>
              <w:t>Unutar navedene aktivnosti sadržane su plaće (bruto) za zaposlene, ostali rashodi za zaposlene i doprinosi na plaće. Isto tako, ovdje se nalaze svi materijalni rashodi, financijski rashodi te ostale naknade građanima i kućanstvima iz proračuna</w:t>
            </w:r>
            <w:r w:rsidR="00D212C3" w:rsidRPr="00D212C3">
              <w:rPr>
                <w:rFonts w:ascii="Times New Roman" w:eastAsia="Times New Roman" w:hAnsi="Times New Roman" w:cs="Times New Roman"/>
                <w:bCs/>
                <w:sz w:val="24"/>
                <w:szCs w:val="24"/>
                <w:lang w:eastAsia="hr-HR"/>
              </w:rPr>
              <w:t xml:space="preserve"> te dio rashoda za nabavu nefinancijske imovine</w:t>
            </w:r>
            <w:r w:rsidRPr="00D212C3">
              <w:rPr>
                <w:rFonts w:ascii="Times New Roman" w:eastAsia="Times New Roman" w:hAnsi="Times New Roman" w:cs="Times New Roman"/>
                <w:bCs/>
                <w:sz w:val="24"/>
                <w:szCs w:val="24"/>
                <w:lang w:eastAsia="hr-HR"/>
              </w:rPr>
              <w:t>.</w:t>
            </w:r>
          </w:p>
          <w:p w:rsidR="0035082C" w:rsidRPr="002E0F69" w:rsidRDefault="0035082C" w:rsidP="0035082C">
            <w:pPr>
              <w:spacing w:after="120" w:line="240" w:lineRule="auto"/>
              <w:jc w:val="both"/>
              <w:rPr>
                <w:rFonts w:ascii="Times New Roman" w:eastAsia="Times New Roman" w:hAnsi="Times New Roman" w:cs="Times New Roman"/>
                <w:bCs/>
                <w:sz w:val="24"/>
                <w:szCs w:val="24"/>
                <w:lang w:eastAsia="hr-HR"/>
              </w:rPr>
            </w:pPr>
            <w:r w:rsidRPr="00BF3C9D">
              <w:rPr>
                <w:rFonts w:ascii="Times New Roman" w:eastAsia="Times New Roman" w:hAnsi="Times New Roman" w:cs="Times New Roman"/>
                <w:bCs/>
                <w:sz w:val="24"/>
                <w:szCs w:val="24"/>
                <w:lang w:eastAsia="hr-HR"/>
              </w:rPr>
              <w:t>Plaće (bruto) za zaposlene, ostali rashodi za zaposlene i doprinosi na plaće financirani su iz više izvora financiranja.</w:t>
            </w:r>
            <w:r w:rsidRPr="00BF3C9D">
              <w:rPr>
                <w:rFonts w:ascii="Arial" w:eastAsia="Times New Roman" w:hAnsi="Arial" w:cs="Arial"/>
                <w:bCs/>
                <w:sz w:val="24"/>
                <w:szCs w:val="24"/>
                <w:lang w:eastAsia="hr-HR"/>
              </w:rPr>
              <w:t xml:space="preserve"> </w:t>
            </w:r>
            <w:r w:rsidRPr="00BF3C9D">
              <w:rPr>
                <w:rFonts w:ascii="Times New Roman" w:eastAsia="Times New Roman" w:hAnsi="Times New Roman" w:cs="Times New Roman"/>
                <w:bCs/>
                <w:sz w:val="24"/>
                <w:szCs w:val="24"/>
                <w:lang w:eastAsia="hr-HR"/>
              </w:rPr>
              <w:t>Tako se iz izvora 11 (opći prihodi i primici – županijski proračun) dijelom financiraju plaće (bruto) za Dnevni centar u iznosu od 11.680,00 EUR te doprinosi na plaće u iznosu od 1.592,00 EUR.</w:t>
            </w:r>
            <w:r w:rsidRPr="00BF3C9D">
              <w:rPr>
                <w:rFonts w:ascii="Arial" w:eastAsia="Times New Roman" w:hAnsi="Arial" w:cs="Arial"/>
                <w:bCs/>
                <w:sz w:val="24"/>
                <w:szCs w:val="24"/>
                <w:lang w:eastAsia="hr-HR"/>
              </w:rPr>
              <w:t xml:space="preserve"> </w:t>
            </w:r>
            <w:r w:rsidR="00BD24C4" w:rsidRPr="00BF3C9D">
              <w:rPr>
                <w:rFonts w:ascii="Times New Roman" w:eastAsia="Times New Roman" w:hAnsi="Times New Roman" w:cs="Times New Roman"/>
                <w:bCs/>
                <w:sz w:val="24"/>
                <w:szCs w:val="24"/>
                <w:lang w:eastAsia="hr-HR"/>
              </w:rPr>
              <w:t>U 2024</w:t>
            </w:r>
            <w:r w:rsidRPr="00BF3C9D">
              <w:rPr>
                <w:rFonts w:ascii="Times New Roman" w:eastAsia="Times New Roman" w:hAnsi="Times New Roman" w:cs="Times New Roman"/>
                <w:bCs/>
                <w:sz w:val="24"/>
                <w:szCs w:val="24"/>
                <w:lang w:eastAsia="hr-HR"/>
              </w:rPr>
              <w:t>. godini iz izvora 11</w:t>
            </w:r>
            <w:r w:rsidR="0095576A" w:rsidRPr="00BF3C9D">
              <w:rPr>
                <w:rFonts w:ascii="Times New Roman" w:eastAsia="Times New Roman" w:hAnsi="Times New Roman" w:cs="Times New Roman"/>
                <w:bCs/>
                <w:sz w:val="24"/>
                <w:szCs w:val="24"/>
                <w:lang w:eastAsia="hr-HR"/>
              </w:rPr>
              <w:t xml:space="preserve"> dijelo</w:t>
            </w:r>
            <w:r w:rsidR="00297E7A" w:rsidRPr="00BF3C9D">
              <w:rPr>
                <w:rFonts w:ascii="Times New Roman" w:eastAsia="Times New Roman" w:hAnsi="Times New Roman" w:cs="Times New Roman"/>
                <w:bCs/>
                <w:sz w:val="24"/>
                <w:szCs w:val="24"/>
                <w:lang w:eastAsia="hr-HR"/>
              </w:rPr>
              <w:t>m</w:t>
            </w:r>
            <w:r w:rsidR="00BF3C9D" w:rsidRPr="00BF3C9D">
              <w:rPr>
                <w:rFonts w:ascii="Times New Roman" w:eastAsia="Times New Roman" w:hAnsi="Times New Roman" w:cs="Times New Roman"/>
                <w:bCs/>
                <w:sz w:val="24"/>
                <w:szCs w:val="24"/>
                <w:lang w:eastAsia="hr-HR"/>
              </w:rPr>
              <w:t xml:space="preserve"> se financiraju</w:t>
            </w:r>
            <w:r w:rsidR="0095576A" w:rsidRPr="00BF3C9D">
              <w:rPr>
                <w:rFonts w:ascii="Times New Roman" w:eastAsia="Times New Roman" w:hAnsi="Times New Roman" w:cs="Times New Roman"/>
                <w:bCs/>
                <w:sz w:val="24"/>
                <w:szCs w:val="24"/>
                <w:lang w:eastAsia="hr-HR"/>
              </w:rPr>
              <w:t xml:space="preserve"> i plaće zaposlenika </w:t>
            </w:r>
            <w:r w:rsidRPr="00BF3C9D">
              <w:rPr>
                <w:rFonts w:ascii="Times New Roman" w:eastAsia="Times New Roman" w:hAnsi="Times New Roman" w:cs="Times New Roman"/>
                <w:bCs/>
                <w:sz w:val="24"/>
                <w:szCs w:val="24"/>
                <w:lang w:eastAsia="hr-HR"/>
              </w:rPr>
              <w:t>Dom</w:t>
            </w:r>
            <w:r w:rsidR="0095576A" w:rsidRPr="00BF3C9D">
              <w:rPr>
                <w:rFonts w:ascii="Times New Roman" w:eastAsia="Times New Roman" w:hAnsi="Times New Roman" w:cs="Times New Roman"/>
                <w:bCs/>
                <w:sz w:val="24"/>
                <w:szCs w:val="24"/>
                <w:lang w:eastAsia="hr-HR"/>
              </w:rPr>
              <w:t>a</w:t>
            </w:r>
            <w:r w:rsidR="00D85291" w:rsidRPr="00BF3C9D">
              <w:rPr>
                <w:rFonts w:ascii="Times New Roman" w:eastAsia="Times New Roman" w:hAnsi="Times New Roman" w:cs="Times New Roman"/>
                <w:bCs/>
                <w:sz w:val="24"/>
                <w:szCs w:val="24"/>
                <w:lang w:eastAsia="hr-HR"/>
              </w:rPr>
              <w:t>. Za navedeno je</w:t>
            </w:r>
            <w:r w:rsidR="00BF3C9D" w:rsidRPr="00BF3C9D">
              <w:rPr>
                <w:rFonts w:ascii="Times New Roman" w:eastAsia="Times New Roman" w:hAnsi="Times New Roman" w:cs="Times New Roman"/>
                <w:bCs/>
                <w:sz w:val="24"/>
                <w:szCs w:val="24"/>
                <w:lang w:eastAsia="hr-HR"/>
              </w:rPr>
              <w:t xml:space="preserve"> prvotno</w:t>
            </w:r>
            <w:r w:rsidR="00BD24C4" w:rsidRPr="00BF3C9D">
              <w:rPr>
                <w:rFonts w:ascii="Times New Roman" w:eastAsia="Times New Roman" w:hAnsi="Times New Roman" w:cs="Times New Roman"/>
                <w:bCs/>
                <w:sz w:val="24"/>
                <w:szCs w:val="24"/>
                <w:lang w:eastAsia="hr-HR"/>
              </w:rPr>
              <w:t xml:space="preserve"> planirano 234.217,00 EUR (180</w:t>
            </w:r>
            <w:r w:rsidR="00D85291" w:rsidRPr="00BF3C9D">
              <w:rPr>
                <w:rFonts w:ascii="Times New Roman" w:eastAsia="Times New Roman" w:hAnsi="Times New Roman" w:cs="Times New Roman"/>
                <w:bCs/>
                <w:sz w:val="24"/>
                <w:szCs w:val="24"/>
                <w:lang w:eastAsia="hr-HR"/>
              </w:rPr>
              <w:t>.</w:t>
            </w:r>
            <w:r w:rsidR="00BD24C4" w:rsidRPr="00BF3C9D">
              <w:rPr>
                <w:rFonts w:ascii="Times New Roman" w:eastAsia="Times New Roman" w:hAnsi="Times New Roman" w:cs="Times New Roman"/>
                <w:bCs/>
                <w:sz w:val="24"/>
                <w:szCs w:val="24"/>
                <w:lang w:eastAsia="hr-HR"/>
              </w:rPr>
              <w:t>000,00 EUR za plaće (bruto) i 54.217</w:t>
            </w:r>
            <w:r w:rsidRPr="00BF3C9D">
              <w:rPr>
                <w:rFonts w:ascii="Times New Roman" w:eastAsia="Times New Roman" w:hAnsi="Times New Roman" w:cs="Times New Roman"/>
                <w:bCs/>
                <w:sz w:val="24"/>
                <w:szCs w:val="24"/>
                <w:lang w:eastAsia="hr-HR"/>
              </w:rPr>
              <w:t>,00 EUR za doprinose na plaće)</w:t>
            </w:r>
            <w:r w:rsidR="00BD24C4" w:rsidRPr="00BF3C9D">
              <w:rPr>
                <w:rFonts w:ascii="Times New Roman" w:eastAsia="Times New Roman" w:hAnsi="Times New Roman" w:cs="Times New Roman"/>
                <w:bCs/>
                <w:sz w:val="24"/>
                <w:szCs w:val="24"/>
                <w:lang w:eastAsia="hr-HR"/>
              </w:rPr>
              <w:t>.</w:t>
            </w:r>
            <w:r w:rsidR="00BF3C9D">
              <w:rPr>
                <w:rFonts w:ascii="Times New Roman" w:eastAsia="Times New Roman" w:hAnsi="Times New Roman" w:cs="Times New Roman"/>
                <w:bCs/>
                <w:sz w:val="24"/>
                <w:szCs w:val="24"/>
                <w:lang w:eastAsia="hr-HR"/>
              </w:rPr>
              <w:t xml:space="preserve"> I. Izmjenama i dopunama Financijskog plana taj iznos je povećan za </w:t>
            </w:r>
            <w:r w:rsidR="00FB70AF">
              <w:rPr>
                <w:rFonts w:ascii="Times New Roman" w:eastAsia="Times New Roman" w:hAnsi="Times New Roman" w:cs="Times New Roman"/>
                <w:bCs/>
                <w:sz w:val="24"/>
                <w:szCs w:val="24"/>
                <w:lang w:eastAsia="hr-HR"/>
              </w:rPr>
              <w:t>1</w:t>
            </w:r>
            <w:r w:rsidR="00BF3C9D">
              <w:rPr>
                <w:rFonts w:ascii="Times New Roman" w:eastAsia="Times New Roman" w:hAnsi="Times New Roman" w:cs="Times New Roman"/>
                <w:bCs/>
                <w:sz w:val="24"/>
                <w:szCs w:val="24"/>
                <w:lang w:eastAsia="hr-HR"/>
              </w:rPr>
              <w:t>70.000,00 EUR (</w:t>
            </w:r>
            <w:r w:rsidR="00FB70AF">
              <w:rPr>
                <w:rFonts w:ascii="Times New Roman" w:eastAsia="Times New Roman" w:hAnsi="Times New Roman" w:cs="Times New Roman"/>
                <w:bCs/>
                <w:sz w:val="24"/>
                <w:szCs w:val="24"/>
                <w:lang w:eastAsia="hr-HR"/>
              </w:rPr>
              <w:t>1</w:t>
            </w:r>
            <w:r w:rsidR="00BF3C9D">
              <w:rPr>
                <w:rFonts w:ascii="Times New Roman" w:eastAsia="Times New Roman" w:hAnsi="Times New Roman" w:cs="Times New Roman"/>
                <w:bCs/>
                <w:sz w:val="24"/>
                <w:szCs w:val="24"/>
                <w:lang w:eastAsia="hr-HR"/>
              </w:rPr>
              <w:t>5</w:t>
            </w:r>
            <w:r w:rsidR="00BF3C9D" w:rsidRPr="00BF3C9D">
              <w:rPr>
                <w:rFonts w:ascii="Times New Roman" w:eastAsia="Times New Roman" w:hAnsi="Times New Roman" w:cs="Times New Roman"/>
                <w:bCs/>
                <w:sz w:val="24"/>
                <w:szCs w:val="24"/>
                <w:lang w:eastAsia="hr-HR"/>
              </w:rPr>
              <w:t>0.</w:t>
            </w:r>
            <w:r w:rsidR="00BF3C9D">
              <w:rPr>
                <w:rFonts w:ascii="Times New Roman" w:eastAsia="Times New Roman" w:hAnsi="Times New Roman" w:cs="Times New Roman"/>
                <w:bCs/>
                <w:sz w:val="24"/>
                <w:szCs w:val="24"/>
                <w:lang w:eastAsia="hr-HR"/>
              </w:rPr>
              <w:t>000,00 EUR za plaće (bruto) i 20.000</w:t>
            </w:r>
            <w:r w:rsidR="00BF3C9D" w:rsidRPr="00BF3C9D">
              <w:rPr>
                <w:rFonts w:ascii="Times New Roman" w:eastAsia="Times New Roman" w:hAnsi="Times New Roman" w:cs="Times New Roman"/>
                <w:bCs/>
                <w:sz w:val="24"/>
                <w:szCs w:val="24"/>
                <w:lang w:eastAsia="hr-HR"/>
              </w:rPr>
              <w:t>,00 EUR za doprinose na plaće).</w:t>
            </w:r>
            <w:r w:rsidR="00FB70AF">
              <w:rPr>
                <w:rFonts w:ascii="Times New Roman" w:eastAsia="Times New Roman" w:hAnsi="Times New Roman" w:cs="Times New Roman"/>
                <w:bCs/>
                <w:sz w:val="24"/>
                <w:szCs w:val="24"/>
                <w:lang w:eastAsia="hr-HR"/>
              </w:rPr>
              <w:t xml:space="preserve"> I</w:t>
            </w:r>
            <w:r w:rsidR="00B7158F">
              <w:rPr>
                <w:rFonts w:ascii="Times New Roman" w:eastAsia="Times New Roman" w:hAnsi="Times New Roman" w:cs="Times New Roman"/>
                <w:bCs/>
                <w:sz w:val="24"/>
                <w:szCs w:val="24"/>
                <w:lang w:eastAsia="hr-HR"/>
              </w:rPr>
              <w:t>znos</w:t>
            </w:r>
            <w:r w:rsidR="00FB70AF">
              <w:rPr>
                <w:rFonts w:ascii="Times New Roman" w:eastAsia="Times New Roman" w:hAnsi="Times New Roman" w:cs="Times New Roman"/>
                <w:bCs/>
                <w:sz w:val="24"/>
                <w:szCs w:val="24"/>
                <w:lang w:eastAsia="hr-HR"/>
              </w:rPr>
              <w:t xml:space="preserve"> od 70.000,00 EUR</w:t>
            </w:r>
            <w:r w:rsidR="00B7158F">
              <w:rPr>
                <w:rFonts w:ascii="Times New Roman" w:eastAsia="Times New Roman" w:hAnsi="Times New Roman" w:cs="Times New Roman"/>
                <w:bCs/>
                <w:sz w:val="24"/>
                <w:szCs w:val="24"/>
                <w:lang w:eastAsia="hr-HR"/>
              </w:rPr>
              <w:t xml:space="preserve"> prebačen je na poziciju rashoda za zaposlene jer je u istom iznosu od Ministarstva regionalnoga razvoja i fondova Europske unije dobiveno sufinanciranje ugradnje vatrodojavnog sustava (prvotno je planirano kako će se cijeli iznos </w:t>
            </w:r>
            <w:r w:rsidR="00B7158F">
              <w:rPr>
                <w:rFonts w:ascii="Times New Roman" w:eastAsia="Times New Roman" w:hAnsi="Times New Roman" w:cs="Times New Roman"/>
                <w:bCs/>
                <w:sz w:val="24"/>
                <w:szCs w:val="24"/>
                <w:lang w:eastAsia="hr-HR"/>
              </w:rPr>
              <w:lastRenderedPageBreak/>
              <w:t>financirati iz Proračuna Varaždinske županije</w:t>
            </w:r>
            <w:r w:rsidR="00B7158F" w:rsidRPr="00FB419E">
              <w:rPr>
                <w:rFonts w:ascii="Times New Roman" w:eastAsia="Times New Roman" w:hAnsi="Times New Roman" w:cs="Times New Roman"/>
                <w:bCs/>
                <w:sz w:val="24"/>
                <w:szCs w:val="24"/>
                <w:lang w:eastAsia="hr-HR"/>
              </w:rPr>
              <w:t>)</w:t>
            </w:r>
            <w:r w:rsidR="00FB70AF">
              <w:rPr>
                <w:rFonts w:ascii="Times New Roman" w:eastAsia="Times New Roman" w:hAnsi="Times New Roman" w:cs="Times New Roman"/>
                <w:bCs/>
                <w:sz w:val="24"/>
                <w:szCs w:val="24"/>
                <w:lang w:eastAsia="hr-HR"/>
              </w:rPr>
              <w:t xml:space="preserve"> i dodatno je dobiveno još 100.000,00 EUR iz proračuna Varaždinske županije</w:t>
            </w:r>
            <w:r w:rsidR="00B7158F" w:rsidRPr="00FB419E">
              <w:rPr>
                <w:rFonts w:ascii="Times New Roman" w:eastAsia="Times New Roman" w:hAnsi="Times New Roman" w:cs="Times New Roman"/>
                <w:bCs/>
                <w:sz w:val="24"/>
                <w:szCs w:val="24"/>
                <w:lang w:eastAsia="hr-HR"/>
              </w:rPr>
              <w:t>.</w:t>
            </w:r>
            <w:r w:rsidR="00FB419E" w:rsidRPr="00FB419E">
              <w:rPr>
                <w:rFonts w:ascii="Times New Roman" w:eastAsia="Times New Roman" w:hAnsi="Times New Roman" w:cs="Times New Roman"/>
                <w:bCs/>
                <w:sz w:val="24"/>
                <w:szCs w:val="24"/>
                <w:lang w:eastAsia="hr-HR"/>
              </w:rPr>
              <w:t xml:space="preserve"> </w:t>
            </w:r>
            <w:r w:rsidRPr="00FB419E">
              <w:rPr>
                <w:rFonts w:ascii="Times New Roman" w:eastAsia="Times New Roman" w:hAnsi="Times New Roman" w:cs="Times New Roman"/>
                <w:sz w:val="24"/>
                <w:szCs w:val="24"/>
                <w:lang w:eastAsia="hr-HR"/>
              </w:rPr>
              <w:t xml:space="preserve">Iz izvora 43 (ostali prihodi za posebne namjene) financiraju </w:t>
            </w:r>
            <w:r w:rsidR="00250AF2" w:rsidRPr="00FB419E">
              <w:rPr>
                <w:rFonts w:ascii="Times New Roman" w:eastAsia="Times New Roman" w:hAnsi="Times New Roman" w:cs="Times New Roman"/>
                <w:sz w:val="24"/>
                <w:szCs w:val="24"/>
                <w:lang w:eastAsia="hr-HR"/>
              </w:rPr>
              <w:t>se plaće (bruto) u iznosu od 880.767</w:t>
            </w:r>
            <w:r w:rsidRPr="00FB419E">
              <w:rPr>
                <w:rFonts w:ascii="Times New Roman" w:eastAsia="Times New Roman" w:hAnsi="Times New Roman" w:cs="Times New Roman"/>
                <w:sz w:val="24"/>
                <w:szCs w:val="24"/>
                <w:lang w:eastAsia="hr-HR"/>
              </w:rPr>
              <w:t>,00 EUR, ostali ras</w:t>
            </w:r>
            <w:r w:rsidR="002E7440" w:rsidRPr="00FB419E">
              <w:rPr>
                <w:rFonts w:ascii="Times New Roman" w:eastAsia="Times New Roman" w:hAnsi="Times New Roman" w:cs="Times New Roman"/>
                <w:sz w:val="24"/>
                <w:szCs w:val="24"/>
                <w:lang w:eastAsia="hr-HR"/>
              </w:rPr>
              <w:t>h</w:t>
            </w:r>
            <w:r w:rsidR="00250AF2" w:rsidRPr="00FB419E">
              <w:rPr>
                <w:rFonts w:ascii="Times New Roman" w:eastAsia="Times New Roman" w:hAnsi="Times New Roman" w:cs="Times New Roman"/>
                <w:sz w:val="24"/>
                <w:szCs w:val="24"/>
                <w:lang w:eastAsia="hr-HR"/>
              </w:rPr>
              <w:t>odi za zaposlene u iznosu od 115</w:t>
            </w:r>
            <w:r w:rsidR="002E7440" w:rsidRPr="00FB419E">
              <w:rPr>
                <w:rFonts w:ascii="Times New Roman" w:eastAsia="Times New Roman" w:hAnsi="Times New Roman" w:cs="Times New Roman"/>
                <w:sz w:val="24"/>
                <w:szCs w:val="24"/>
                <w:lang w:eastAsia="hr-HR"/>
              </w:rPr>
              <w:t>.150</w:t>
            </w:r>
            <w:r w:rsidRPr="00FB419E">
              <w:rPr>
                <w:rFonts w:ascii="Times New Roman" w:eastAsia="Times New Roman" w:hAnsi="Times New Roman" w:cs="Times New Roman"/>
                <w:sz w:val="24"/>
                <w:szCs w:val="24"/>
                <w:lang w:eastAsia="hr-HR"/>
              </w:rPr>
              <w:t>,00 EUR i do</w:t>
            </w:r>
            <w:r w:rsidR="002E7440" w:rsidRPr="00FB419E">
              <w:rPr>
                <w:rFonts w:ascii="Times New Roman" w:eastAsia="Times New Roman" w:hAnsi="Times New Roman" w:cs="Times New Roman"/>
                <w:sz w:val="24"/>
                <w:szCs w:val="24"/>
                <w:lang w:eastAsia="hr-HR"/>
              </w:rPr>
              <w:t>prinosi na pl</w:t>
            </w:r>
            <w:r w:rsidR="00250AF2" w:rsidRPr="00FB419E">
              <w:rPr>
                <w:rFonts w:ascii="Times New Roman" w:eastAsia="Times New Roman" w:hAnsi="Times New Roman" w:cs="Times New Roman"/>
                <w:sz w:val="24"/>
                <w:szCs w:val="24"/>
                <w:lang w:eastAsia="hr-HR"/>
              </w:rPr>
              <w:t>aće u iznosu od 148.783</w:t>
            </w:r>
            <w:r w:rsidRPr="00FB419E">
              <w:rPr>
                <w:rFonts w:ascii="Times New Roman" w:eastAsia="Times New Roman" w:hAnsi="Times New Roman" w:cs="Times New Roman"/>
                <w:sz w:val="24"/>
                <w:szCs w:val="24"/>
                <w:lang w:eastAsia="hr-HR"/>
              </w:rPr>
              <w:t>,00 EUR.</w:t>
            </w:r>
            <w:r w:rsidR="00B7158F" w:rsidRPr="00FB419E">
              <w:rPr>
                <w:rFonts w:ascii="Times New Roman" w:eastAsia="Times New Roman" w:hAnsi="Times New Roman" w:cs="Times New Roman"/>
                <w:sz w:val="24"/>
                <w:szCs w:val="24"/>
                <w:lang w:eastAsia="hr-HR"/>
              </w:rPr>
              <w:t xml:space="preserve"> I. Izmjenama i dopunama Financijskog plana ti iznosi su povećani za 325.000,00 EUR (</w:t>
            </w:r>
            <w:r w:rsidR="00B7158F" w:rsidRPr="00FB419E">
              <w:rPr>
                <w:rFonts w:ascii="Times New Roman" w:eastAsia="Times New Roman" w:hAnsi="Times New Roman" w:cs="Times New Roman"/>
                <w:bCs/>
                <w:sz w:val="24"/>
                <w:szCs w:val="24"/>
                <w:lang w:eastAsia="hr-HR"/>
              </w:rPr>
              <w:t xml:space="preserve">320.000,00 EUR za plaće (bruto) i 5.000,00 EUR za doprinose na plaće) </w:t>
            </w:r>
            <w:r w:rsidR="00B7158F" w:rsidRPr="00FB419E">
              <w:rPr>
                <w:rFonts w:ascii="Times New Roman" w:eastAsia="Times New Roman" w:hAnsi="Times New Roman" w:cs="Times New Roman"/>
                <w:sz w:val="24"/>
                <w:szCs w:val="24"/>
                <w:lang w:eastAsia="hr-HR"/>
              </w:rPr>
              <w:t>temeljem planiranog povećanja cijena smještaja u Domu.</w:t>
            </w:r>
            <w:r w:rsidRPr="00FB419E">
              <w:rPr>
                <w:rFonts w:ascii="Times New Roman" w:eastAsia="Times New Roman" w:hAnsi="Times New Roman" w:cs="Times New Roman"/>
                <w:sz w:val="24"/>
                <w:szCs w:val="24"/>
                <w:lang w:eastAsia="hr-HR"/>
              </w:rPr>
              <w:t xml:space="preserve"> Iz izvora 44 (decentralizirana sredstva) dijelom se financira</w:t>
            </w:r>
            <w:r w:rsidR="00250AF2" w:rsidRPr="00FB419E">
              <w:rPr>
                <w:rFonts w:ascii="Times New Roman" w:eastAsia="Times New Roman" w:hAnsi="Times New Roman" w:cs="Times New Roman"/>
                <w:sz w:val="24"/>
                <w:szCs w:val="24"/>
                <w:lang w:eastAsia="hr-HR"/>
              </w:rPr>
              <w:t>ju plaće (bruto) u iznosu od 495.791</w:t>
            </w:r>
            <w:r w:rsidRPr="00FB419E">
              <w:rPr>
                <w:rFonts w:ascii="Times New Roman" w:eastAsia="Times New Roman" w:hAnsi="Times New Roman" w:cs="Times New Roman"/>
                <w:sz w:val="24"/>
                <w:szCs w:val="24"/>
                <w:lang w:eastAsia="hr-HR"/>
              </w:rPr>
              <w:t>,00 EUR i dopri</w:t>
            </w:r>
            <w:r w:rsidR="00250AF2" w:rsidRPr="00FB419E">
              <w:rPr>
                <w:rFonts w:ascii="Times New Roman" w:eastAsia="Times New Roman" w:hAnsi="Times New Roman" w:cs="Times New Roman"/>
                <w:sz w:val="24"/>
                <w:szCs w:val="24"/>
                <w:lang w:eastAsia="hr-HR"/>
              </w:rPr>
              <w:t>nosi na plaće u iznosu od 74.000</w:t>
            </w:r>
            <w:r w:rsidRPr="00FB419E">
              <w:rPr>
                <w:rFonts w:ascii="Times New Roman" w:eastAsia="Times New Roman" w:hAnsi="Times New Roman" w:cs="Times New Roman"/>
                <w:sz w:val="24"/>
                <w:szCs w:val="24"/>
                <w:lang w:eastAsia="hr-HR"/>
              </w:rPr>
              <w:t>,00 EUR.</w:t>
            </w:r>
            <w:r w:rsidR="00FB419E" w:rsidRPr="00FB419E">
              <w:rPr>
                <w:rFonts w:ascii="Times New Roman" w:eastAsia="Times New Roman" w:hAnsi="Times New Roman" w:cs="Times New Roman"/>
                <w:sz w:val="24"/>
                <w:szCs w:val="24"/>
                <w:lang w:eastAsia="hr-HR"/>
              </w:rPr>
              <w:t xml:space="preserve"> I. Izmjenama i dopunama Financijskog plana na navedenom izvoru povećana su sredstva na poziciji rashoda za</w:t>
            </w:r>
            <w:r w:rsidR="00FB70AF">
              <w:rPr>
                <w:rFonts w:ascii="Times New Roman" w:eastAsia="Times New Roman" w:hAnsi="Times New Roman" w:cs="Times New Roman"/>
                <w:sz w:val="24"/>
                <w:szCs w:val="24"/>
                <w:lang w:eastAsia="hr-HR"/>
              </w:rPr>
              <w:t xml:space="preserve"> zaposlene u ukupnom iznosu od 3</w:t>
            </w:r>
            <w:r w:rsidR="00FB419E" w:rsidRPr="00FB419E">
              <w:rPr>
                <w:rFonts w:ascii="Times New Roman" w:eastAsia="Times New Roman" w:hAnsi="Times New Roman" w:cs="Times New Roman"/>
                <w:sz w:val="24"/>
                <w:szCs w:val="24"/>
                <w:lang w:eastAsia="hr-HR"/>
              </w:rPr>
              <w:t>30.205,00 EUR</w:t>
            </w:r>
            <w:r w:rsidR="00FB419E">
              <w:rPr>
                <w:rFonts w:ascii="Times New Roman" w:eastAsia="Times New Roman" w:hAnsi="Times New Roman" w:cs="Times New Roman"/>
                <w:sz w:val="24"/>
                <w:szCs w:val="24"/>
                <w:lang w:eastAsia="hr-HR"/>
              </w:rPr>
              <w:t>. Odlukom o raspodjeli rezultata na sjednici Županijske skupštine Varaždinske županije</w:t>
            </w:r>
            <w:r w:rsidR="00486675">
              <w:rPr>
                <w:rFonts w:ascii="Times New Roman" w:eastAsia="Times New Roman" w:hAnsi="Times New Roman" w:cs="Times New Roman"/>
                <w:sz w:val="24"/>
                <w:szCs w:val="24"/>
                <w:lang w:eastAsia="hr-HR"/>
              </w:rPr>
              <w:t xml:space="preserve"> Domu je dodijeljeno 218.497,00 EUR koje je Županija ostvarila kao višak od decentraliziranih sredstava. Ostatak iznosa od 11.708,00 EUR odnosi se na dodatno povećanje decentraliziranih sredstava od 2% koje je bilo vidljivo tek nakon donošenja Odluke</w:t>
            </w:r>
            <w:r w:rsidR="00486675" w:rsidRPr="00486675">
              <w:rPr>
                <w:rFonts w:ascii="Times New Roman" w:eastAsia="Times New Roman" w:hAnsi="Times New Roman" w:cs="Times New Roman"/>
                <w:sz w:val="24"/>
                <w:szCs w:val="24"/>
                <w:lang w:eastAsia="hr-HR"/>
              </w:rPr>
              <w:t xml:space="preserve"> o minimalnim financijskim standardima, kriterijima i mjerilima za decentralizirano financiranje domova za starije osobe u 2024. </w:t>
            </w:r>
            <w:r w:rsidR="00486675">
              <w:rPr>
                <w:rFonts w:ascii="Times New Roman" w:eastAsia="Times New Roman" w:hAnsi="Times New Roman" w:cs="Times New Roman"/>
                <w:sz w:val="24"/>
                <w:szCs w:val="24"/>
                <w:lang w:eastAsia="hr-HR"/>
              </w:rPr>
              <w:t>g</w:t>
            </w:r>
            <w:r w:rsidR="00486675" w:rsidRPr="00486675">
              <w:rPr>
                <w:rFonts w:ascii="Times New Roman" w:eastAsia="Times New Roman" w:hAnsi="Times New Roman" w:cs="Times New Roman"/>
                <w:sz w:val="24"/>
                <w:szCs w:val="24"/>
                <w:lang w:eastAsia="hr-HR"/>
              </w:rPr>
              <w:t>odini</w:t>
            </w:r>
            <w:r w:rsidR="00486675">
              <w:rPr>
                <w:rFonts w:ascii="Times New Roman" w:eastAsia="Times New Roman" w:hAnsi="Times New Roman" w:cs="Times New Roman"/>
                <w:sz w:val="24"/>
                <w:szCs w:val="24"/>
                <w:lang w:eastAsia="hr-HR"/>
              </w:rPr>
              <w:t>.</w:t>
            </w:r>
            <w:r w:rsidR="00FB70AF">
              <w:rPr>
                <w:rFonts w:ascii="Times New Roman" w:eastAsia="Times New Roman" w:hAnsi="Times New Roman" w:cs="Times New Roman"/>
                <w:sz w:val="24"/>
                <w:szCs w:val="24"/>
                <w:lang w:eastAsia="hr-HR"/>
              </w:rPr>
              <w:t xml:space="preserve"> </w:t>
            </w:r>
            <w:r w:rsidR="00FB70AF" w:rsidRPr="002E0F69">
              <w:rPr>
                <w:rFonts w:ascii="Times New Roman" w:eastAsia="Times New Roman" w:hAnsi="Times New Roman" w:cs="Times New Roman"/>
                <w:sz w:val="24"/>
                <w:szCs w:val="24"/>
                <w:lang w:eastAsia="hr-HR"/>
              </w:rPr>
              <w:t>Dodatno je do</w:t>
            </w:r>
            <w:r w:rsidR="00341B1A">
              <w:rPr>
                <w:rFonts w:ascii="Times New Roman" w:eastAsia="Times New Roman" w:hAnsi="Times New Roman" w:cs="Times New Roman"/>
                <w:sz w:val="24"/>
                <w:szCs w:val="24"/>
                <w:lang w:eastAsia="hr-HR"/>
              </w:rPr>
              <w:t>biveno od Varaždinske županije</w:t>
            </w:r>
            <w:bookmarkStart w:id="0" w:name="_GoBack"/>
            <w:bookmarkEnd w:id="0"/>
            <w:r w:rsidR="00341B1A">
              <w:rPr>
                <w:rFonts w:ascii="Times New Roman" w:eastAsia="Times New Roman" w:hAnsi="Times New Roman" w:cs="Times New Roman"/>
                <w:sz w:val="24"/>
                <w:szCs w:val="24"/>
                <w:lang w:eastAsia="hr-HR"/>
              </w:rPr>
              <w:t xml:space="preserve"> još i 100.000,00 EUR (</w:t>
            </w:r>
            <w:r w:rsidR="00FB70AF" w:rsidRPr="002E0F69">
              <w:rPr>
                <w:rFonts w:ascii="Times New Roman" w:eastAsia="Times New Roman" w:hAnsi="Times New Roman" w:cs="Times New Roman"/>
                <w:sz w:val="24"/>
                <w:szCs w:val="24"/>
                <w:lang w:eastAsia="hr-HR"/>
              </w:rPr>
              <w:t>višak</w:t>
            </w:r>
            <w:r w:rsidR="00341B1A">
              <w:rPr>
                <w:rFonts w:ascii="Times New Roman" w:eastAsia="Times New Roman" w:hAnsi="Times New Roman" w:cs="Times New Roman"/>
                <w:sz w:val="24"/>
                <w:szCs w:val="24"/>
                <w:lang w:eastAsia="hr-HR"/>
              </w:rPr>
              <w:t xml:space="preserve"> od poreza)</w:t>
            </w:r>
            <w:r w:rsidR="002E0F69" w:rsidRPr="002E0F69">
              <w:rPr>
                <w:rFonts w:ascii="Times New Roman" w:eastAsia="Times New Roman" w:hAnsi="Times New Roman" w:cs="Times New Roman"/>
                <w:sz w:val="24"/>
                <w:szCs w:val="24"/>
                <w:lang w:eastAsia="hr-HR"/>
              </w:rPr>
              <w:t xml:space="preserve"> kod decentraliziranih sredstava.</w:t>
            </w:r>
          </w:p>
          <w:p w:rsidR="0035082C" w:rsidRDefault="002E7440" w:rsidP="00B97CD6">
            <w:pPr>
              <w:spacing w:after="120"/>
              <w:jc w:val="both"/>
              <w:rPr>
                <w:rFonts w:ascii="Times New Roman" w:eastAsia="Times New Roman" w:hAnsi="Times New Roman" w:cs="Times New Roman"/>
                <w:bCs/>
                <w:sz w:val="24"/>
                <w:szCs w:val="24"/>
                <w:lang w:eastAsia="hr-HR"/>
              </w:rPr>
            </w:pPr>
            <w:r w:rsidRPr="00D36A5A">
              <w:rPr>
                <w:rFonts w:ascii="Times New Roman" w:eastAsia="Times New Roman" w:hAnsi="Times New Roman" w:cs="Times New Roman"/>
                <w:bCs/>
                <w:sz w:val="24"/>
                <w:szCs w:val="24"/>
                <w:lang w:eastAsia="hr-HR"/>
              </w:rPr>
              <w:t>M</w:t>
            </w:r>
            <w:r w:rsidR="0035082C" w:rsidRPr="00D36A5A">
              <w:rPr>
                <w:rFonts w:ascii="Times New Roman" w:eastAsia="Times New Roman" w:hAnsi="Times New Roman" w:cs="Times New Roman"/>
                <w:bCs/>
                <w:sz w:val="24"/>
                <w:szCs w:val="24"/>
                <w:lang w:eastAsia="hr-HR"/>
              </w:rPr>
              <w:t>aterijalni rashodi, financijski rashodi te ostale naknade građanima i kućanstvima iz proračuna financiraju se iz izvora 43.</w:t>
            </w:r>
            <w:r w:rsidR="00FB6CC6" w:rsidRPr="00D36A5A">
              <w:rPr>
                <w:rFonts w:ascii="Times New Roman" w:eastAsia="Times New Roman" w:hAnsi="Times New Roman" w:cs="Times New Roman"/>
                <w:bCs/>
                <w:sz w:val="24"/>
                <w:szCs w:val="24"/>
                <w:lang w:eastAsia="hr-HR"/>
              </w:rPr>
              <w:t xml:space="preserve"> Materijalni rashodi neznatno su uvećani i to za iznos od 3.650,00 EUR (planirani manjak iz prethodne godine prvotno je planiran u iznosu od 20.000,00 EUR, a stvarno je ostvaren manjak u iznosu od 16.350,00 EUR).</w:t>
            </w:r>
            <w:r w:rsidR="0035082C" w:rsidRPr="00D36A5A">
              <w:rPr>
                <w:rFonts w:ascii="Times New Roman" w:eastAsia="Times New Roman" w:hAnsi="Times New Roman" w:cs="Times New Roman"/>
                <w:bCs/>
                <w:sz w:val="24"/>
                <w:szCs w:val="24"/>
                <w:lang w:eastAsia="hr-HR"/>
              </w:rPr>
              <w:t xml:space="preserve"> U Planu se nalazi i izvor financiranja 52 (ostale pomoći), a odnosi se na proračun koji nije nadležan, odnosno na Grad Varaždin kojim se sufinancira rad Dnevnog centra u iznosu od</w:t>
            </w:r>
            <w:r w:rsidR="00037E1A" w:rsidRPr="00D36A5A">
              <w:rPr>
                <w:rFonts w:ascii="Times New Roman" w:eastAsia="Times New Roman" w:hAnsi="Times New Roman" w:cs="Times New Roman"/>
                <w:bCs/>
                <w:sz w:val="24"/>
                <w:szCs w:val="24"/>
                <w:lang w:eastAsia="hr-HR"/>
              </w:rPr>
              <w:t xml:space="preserve"> 4.000</w:t>
            </w:r>
            <w:r w:rsidR="0035082C" w:rsidRPr="00D36A5A">
              <w:rPr>
                <w:rFonts w:ascii="Times New Roman" w:eastAsia="Times New Roman" w:hAnsi="Times New Roman" w:cs="Times New Roman"/>
                <w:bCs/>
                <w:sz w:val="24"/>
                <w:szCs w:val="24"/>
                <w:lang w:eastAsia="hr-HR"/>
              </w:rPr>
              <w:t>,00 EUR i pomoći resornog Ministarstva dobivene za sufinanciranje di</w:t>
            </w:r>
            <w:r w:rsidR="00037E1A" w:rsidRPr="00D36A5A">
              <w:rPr>
                <w:rFonts w:ascii="Times New Roman" w:eastAsia="Times New Roman" w:hAnsi="Times New Roman" w:cs="Times New Roman"/>
                <w:bCs/>
                <w:sz w:val="24"/>
                <w:szCs w:val="24"/>
                <w:lang w:eastAsia="hr-HR"/>
              </w:rPr>
              <w:t>jela troškova energ</w:t>
            </w:r>
            <w:r w:rsidR="00D36A5A" w:rsidRPr="00D36A5A">
              <w:rPr>
                <w:rFonts w:ascii="Times New Roman" w:eastAsia="Times New Roman" w:hAnsi="Times New Roman" w:cs="Times New Roman"/>
                <w:bCs/>
                <w:sz w:val="24"/>
                <w:szCs w:val="24"/>
                <w:lang w:eastAsia="hr-HR"/>
              </w:rPr>
              <w:t>enata</w:t>
            </w:r>
            <w:r w:rsidR="00B97CD6" w:rsidRPr="00D36A5A">
              <w:rPr>
                <w:rFonts w:ascii="Times New Roman" w:eastAsia="Times New Roman" w:hAnsi="Times New Roman" w:cs="Times New Roman"/>
                <w:bCs/>
                <w:sz w:val="24"/>
                <w:szCs w:val="24"/>
                <w:lang w:eastAsia="hr-HR"/>
              </w:rPr>
              <w:t>, a planirani iznos</w:t>
            </w:r>
            <w:r w:rsidR="00D36A5A" w:rsidRPr="00D36A5A">
              <w:rPr>
                <w:rFonts w:ascii="Times New Roman" w:eastAsia="Times New Roman" w:hAnsi="Times New Roman" w:cs="Times New Roman"/>
                <w:bCs/>
                <w:sz w:val="24"/>
                <w:szCs w:val="24"/>
                <w:lang w:eastAsia="hr-HR"/>
              </w:rPr>
              <w:t xml:space="preserve"> prvotno</w:t>
            </w:r>
            <w:r w:rsidR="00B97CD6" w:rsidRPr="00D36A5A">
              <w:rPr>
                <w:rFonts w:ascii="Times New Roman" w:eastAsia="Times New Roman" w:hAnsi="Times New Roman" w:cs="Times New Roman"/>
                <w:bCs/>
                <w:sz w:val="24"/>
                <w:szCs w:val="24"/>
                <w:lang w:eastAsia="hr-HR"/>
              </w:rPr>
              <w:t xml:space="preserve"> je</w:t>
            </w:r>
            <w:r w:rsidR="00D36A5A" w:rsidRPr="00D36A5A">
              <w:rPr>
                <w:rFonts w:ascii="Times New Roman" w:eastAsia="Times New Roman" w:hAnsi="Times New Roman" w:cs="Times New Roman"/>
                <w:bCs/>
                <w:sz w:val="24"/>
                <w:szCs w:val="24"/>
                <w:lang w:eastAsia="hr-HR"/>
              </w:rPr>
              <w:t xml:space="preserve"> iznosio</w:t>
            </w:r>
            <w:r w:rsidR="00B97CD6" w:rsidRPr="00D36A5A">
              <w:rPr>
                <w:rFonts w:ascii="Times New Roman" w:eastAsia="Times New Roman" w:hAnsi="Times New Roman" w:cs="Times New Roman"/>
                <w:bCs/>
                <w:sz w:val="24"/>
                <w:szCs w:val="24"/>
                <w:lang w:eastAsia="hr-HR"/>
              </w:rPr>
              <w:t xml:space="preserve"> 2.0</w:t>
            </w:r>
            <w:r w:rsidR="00037E1A" w:rsidRPr="00D36A5A">
              <w:rPr>
                <w:rFonts w:ascii="Times New Roman" w:eastAsia="Times New Roman" w:hAnsi="Times New Roman" w:cs="Times New Roman"/>
                <w:bCs/>
                <w:sz w:val="24"/>
                <w:szCs w:val="24"/>
                <w:lang w:eastAsia="hr-HR"/>
              </w:rPr>
              <w:t>00</w:t>
            </w:r>
            <w:r w:rsidR="0035082C" w:rsidRPr="00D36A5A">
              <w:rPr>
                <w:rFonts w:ascii="Times New Roman" w:eastAsia="Times New Roman" w:hAnsi="Times New Roman" w:cs="Times New Roman"/>
                <w:bCs/>
                <w:sz w:val="24"/>
                <w:szCs w:val="24"/>
                <w:lang w:eastAsia="hr-HR"/>
              </w:rPr>
              <w:t>,00 EUR.</w:t>
            </w:r>
            <w:r w:rsidR="00752461" w:rsidRPr="00D36A5A">
              <w:rPr>
                <w:rFonts w:ascii="Times New Roman" w:eastAsia="Times New Roman" w:hAnsi="Times New Roman" w:cs="Times New Roman"/>
                <w:bCs/>
                <w:sz w:val="24"/>
                <w:szCs w:val="24"/>
                <w:lang w:eastAsia="hr-HR"/>
              </w:rPr>
              <w:t xml:space="preserve"> </w:t>
            </w:r>
            <w:r w:rsidR="00D36A5A" w:rsidRPr="00D36A5A">
              <w:rPr>
                <w:rFonts w:ascii="Times New Roman" w:eastAsia="Times New Roman" w:hAnsi="Times New Roman" w:cs="Times New Roman"/>
                <w:bCs/>
                <w:sz w:val="24"/>
                <w:szCs w:val="24"/>
                <w:lang w:eastAsia="hr-HR"/>
              </w:rPr>
              <w:t>I. Izmjenama i dopunama Financijskog plana taj iznos je uvećan za 4.500,00 EUR jer je u travnju objavljeno kako se navedena pomoć nastavlja i nadalje.</w:t>
            </w:r>
          </w:p>
          <w:p w:rsidR="00D36A5A" w:rsidRPr="00D36A5A" w:rsidRDefault="00D36A5A" w:rsidP="00D36A5A">
            <w:pPr>
              <w:spacing w:after="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I. Izmjene i dopune</w:t>
            </w:r>
            <w:r w:rsidRPr="00D36A5A">
              <w:rPr>
                <w:rFonts w:ascii="Times New Roman" w:eastAsia="Times New Roman" w:hAnsi="Times New Roman" w:cs="Times New Roman"/>
                <w:sz w:val="24"/>
                <w:szCs w:val="24"/>
                <w:lang w:eastAsia="hr-HR"/>
              </w:rPr>
              <w:t xml:space="preserve"> Financijskog plana</w:t>
            </w:r>
            <w:r>
              <w:rPr>
                <w:rFonts w:ascii="Times New Roman" w:eastAsia="Times New Roman" w:hAnsi="Times New Roman" w:cs="Times New Roman"/>
                <w:sz w:val="24"/>
                <w:szCs w:val="24"/>
                <w:lang w:eastAsia="hr-HR"/>
              </w:rPr>
              <w:t xml:space="preserve"> za 2024. godinu dodane su primljene donacije</w:t>
            </w:r>
            <w:r w:rsidRPr="00D36A5A">
              <w:rPr>
                <w:rFonts w:ascii="Times New Roman" w:eastAsia="Times New Roman" w:hAnsi="Times New Roman" w:cs="Times New Roman"/>
                <w:sz w:val="24"/>
                <w:szCs w:val="24"/>
                <w:lang w:eastAsia="hr-HR"/>
              </w:rPr>
              <w:t xml:space="preserve"> </w:t>
            </w:r>
            <w:r w:rsidR="0030409C">
              <w:rPr>
                <w:rFonts w:ascii="Times New Roman" w:eastAsia="Times New Roman" w:hAnsi="Times New Roman" w:cs="Times New Roman"/>
                <w:sz w:val="24"/>
                <w:szCs w:val="24"/>
                <w:lang w:eastAsia="hr-HR"/>
              </w:rPr>
              <w:t>(unutar države i inozemne) u ukupnom iznosu od 27.277,00 EUR te prihodi od nadoknade šteta s osnova osiguranja u iznosu od 700,00 EUR.</w:t>
            </w:r>
          </w:p>
          <w:p w:rsidR="0035082C" w:rsidRPr="00B97CD6" w:rsidRDefault="0035082C" w:rsidP="0035082C">
            <w:pPr>
              <w:spacing w:after="120" w:line="240" w:lineRule="auto"/>
              <w:jc w:val="both"/>
              <w:rPr>
                <w:rFonts w:ascii="Arial" w:eastAsia="Times New Roman" w:hAnsi="Arial" w:cs="Arial"/>
                <w:b/>
                <w:i/>
                <w:sz w:val="18"/>
                <w:szCs w:val="18"/>
                <w:lang w:eastAsia="hr-HR"/>
              </w:rPr>
            </w:pPr>
            <w:r w:rsidRPr="00B97CD6">
              <w:rPr>
                <w:rFonts w:ascii="Arial" w:eastAsia="Times New Roman" w:hAnsi="Arial" w:cs="Arial"/>
                <w:b/>
                <w:i/>
                <w:sz w:val="18"/>
                <w:szCs w:val="18"/>
                <w:lang w:eastAsia="hr-HR"/>
              </w:rPr>
              <w:t>Otplata kredita za Energetsku obnovu Doma</w:t>
            </w:r>
          </w:p>
          <w:p w:rsidR="0035082C" w:rsidRPr="001763B9" w:rsidRDefault="0035082C" w:rsidP="0035082C">
            <w:pPr>
              <w:spacing w:after="0" w:line="240" w:lineRule="auto"/>
              <w:jc w:val="both"/>
              <w:rPr>
                <w:rFonts w:ascii="Times New Roman" w:eastAsia="Times New Roman" w:hAnsi="Times New Roman" w:cs="Times New Roman"/>
                <w:sz w:val="24"/>
                <w:szCs w:val="24"/>
                <w:lang w:eastAsia="hr-HR"/>
              </w:rPr>
            </w:pPr>
            <w:r w:rsidRPr="001763B9">
              <w:rPr>
                <w:rFonts w:ascii="Times New Roman" w:eastAsia="Times New Roman" w:hAnsi="Times New Roman" w:cs="Times New Roman"/>
                <w:sz w:val="24"/>
                <w:szCs w:val="24"/>
                <w:lang w:eastAsia="hr-HR"/>
              </w:rPr>
              <w:t>Kako bi Dom osigurao vlastitu komponentu financiranja prema Ugovoru o dodjeli bespovratnih sredstava za projekt energetske obnove, ustanova se kreditno zadužila pri HBOR-u, a kako bi se financirali izvantroškovnički radovi ustanova se kreditno zadužila</w:t>
            </w:r>
            <w:r w:rsidR="00037E1A" w:rsidRPr="001763B9">
              <w:rPr>
                <w:rFonts w:ascii="Times New Roman" w:eastAsia="Times New Roman" w:hAnsi="Times New Roman" w:cs="Times New Roman"/>
                <w:sz w:val="24"/>
                <w:szCs w:val="24"/>
                <w:lang w:eastAsia="hr-HR"/>
              </w:rPr>
              <w:t xml:space="preserve"> i</w:t>
            </w:r>
            <w:r w:rsidRPr="001763B9">
              <w:rPr>
                <w:rFonts w:ascii="Times New Roman" w:eastAsia="Times New Roman" w:hAnsi="Times New Roman" w:cs="Times New Roman"/>
                <w:sz w:val="24"/>
                <w:szCs w:val="24"/>
                <w:lang w:eastAsia="hr-HR"/>
              </w:rPr>
              <w:t xml:space="preserve"> kod Zagrebačke banke.</w:t>
            </w:r>
          </w:p>
          <w:p w:rsidR="0035082C" w:rsidRPr="001763B9" w:rsidRDefault="0035082C" w:rsidP="0035082C">
            <w:pPr>
              <w:spacing w:after="0" w:line="240" w:lineRule="auto"/>
              <w:ind w:firstLine="709"/>
              <w:jc w:val="both"/>
              <w:rPr>
                <w:rFonts w:ascii="Times New Roman" w:eastAsia="Times New Roman" w:hAnsi="Times New Roman" w:cs="Times New Roman"/>
                <w:sz w:val="24"/>
                <w:szCs w:val="24"/>
                <w:lang w:eastAsia="hr-HR"/>
              </w:rPr>
            </w:pPr>
          </w:p>
          <w:p w:rsidR="001763B9" w:rsidRPr="001763B9" w:rsidRDefault="001763B9" w:rsidP="0035082C">
            <w:pPr>
              <w:spacing w:after="120" w:line="240" w:lineRule="auto"/>
              <w:jc w:val="both"/>
              <w:rPr>
                <w:rFonts w:ascii="Times New Roman" w:eastAsia="Times New Roman" w:hAnsi="Times New Roman" w:cs="Times New Roman"/>
                <w:bCs/>
                <w:sz w:val="24"/>
                <w:szCs w:val="24"/>
                <w:lang w:eastAsia="hr-HR"/>
              </w:rPr>
            </w:pPr>
            <w:r w:rsidRPr="001763B9">
              <w:rPr>
                <w:rFonts w:ascii="Times New Roman" w:eastAsia="Times New Roman" w:hAnsi="Times New Roman" w:cs="Times New Roman"/>
                <w:bCs/>
                <w:sz w:val="24"/>
                <w:szCs w:val="24"/>
                <w:lang w:eastAsia="hr-HR"/>
              </w:rPr>
              <w:t xml:space="preserve">Kod ove aktivnosti nema promjena u I. Izmjenama i dopunama Financijskog plana Doma za 2024. godinu. Unutar </w:t>
            </w:r>
            <w:r w:rsidR="0035082C" w:rsidRPr="001763B9">
              <w:rPr>
                <w:rFonts w:ascii="Times New Roman" w:eastAsia="Times New Roman" w:hAnsi="Times New Roman" w:cs="Times New Roman"/>
                <w:bCs/>
                <w:sz w:val="24"/>
                <w:szCs w:val="24"/>
                <w:lang w:eastAsia="hr-HR"/>
              </w:rPr>
              <w:t xml:space="preserve">aktivnosti sadržani su izdaci za otplatu glavnica za primljene kredite od HBOR-a u iznosu od </w:t>
            </w:r>
            <w:r w:rsidR="007D6DB8" w:rsidRPr="001763B9">
              <w:rPr>
                <w:rFonts w:ascii="Times New Roman" w:eastAsia="Times New Roman" w:hAnsi="Times New Roman" w:cs="Times New Roman"/>
                <w:bCs/>
                <w:sz w:val="24"/>
                <w:szCs w:val="24"/>
                <w:lang w:eastAsia="hr-HR"/>
              </w:rPr>
              <w:t>82.743</w:t>
            </w:r>
            <w:r w:rsidR="0035082C" w:rsidRPr="001763B9">
              <w:rPr>
                <w:rFonts w:ascii="Times New Roman" w:eastAsia="Times New Roman" w:hAnsi="Times New Roman" w:cs="Times New Roman"/>
                <w:bCs/>
                <w:sz w:val="24"/>
                <w:szCs w:val="24"/>
                <w:lang w:eastAsia="hr-HR"/>
              </w:rPr>
              <w:t xml:space="preserve">,00 EUR i od Zagrebačke banke u iznosu od </w:t>
            </w:r>
            <w:r w:rsidR="007D6DB8" w:rsidRPr="001763B9">
              <w:rPr>
                <w:rFonts w:ascii="Times New Roman" w:eastAsia="Times New Roman" w:hAnsi="Times New Roman" w:cs="Times New Roman"/>
                <w:bCs/>
                <w:sz w:val="24"/>
                <w:szCs w:val="24"/>
                <w:lang w:eastAsia="hr-HR"/>
              </w:rPr>
              <w:t>25.124</w:t>
            </w:r>
            <w:r w:rsidR="0035082C" w:rsidRPr="001763B9">
              <w:rPr>
                <w:rFonts w:ascii="Times New Roman" w:eastAsia="Times New Roman" w:hAnsi="Times New Roman" w:cs="Times New Roman"/>
                <w:bCs/>
                <w:sz w:val="24"/>
                <w:szCs w:val="24"/>
                <w:lang w:eastAsia="hr-HR"/>
              </w:rPr>
              <w:t>,00 EUR</w:t>
            </w:r>
            <w:r w:rsidR="007D6DB8" w:rsidRPr="001763B9">
              <w:rPr>
                <w:rFonts w:ascii="Times New Roman" w:eastAsia="Times New Roman" w:hAnsi="Times New Roman" w:cs="Times New Roman"/>
                <w:bCs/>
                <w:sz w:val="24"/>
                <w:szCs w:val="24"/>
                <w:lang w:eastAsia="hr-HR"/>
              </w:rPr>
              <w:t xml:space="preserve">. </w:t>
            </w:r>
            <w:r w:rsidR="007E2700" w:rsidRPr="001763B9">
              <w:rPr>
                <w:rFonts w:ascii="Times New Roman" w:eastAsia="Times New Roman" w:hAnsi="Times New Roman" w:cs="Times New Roman"/>
                <w:bCs/>
                <w:sz w:val="24"/>
                <w:szCs w:val="24"/>
                <w:lang w:eastAsia="hr-HR"/>
              </w:rPr>
              <w:t>Isto tako, unutar ove aktovnosti sadržani su i financijski rashodi koji se odnose na kamate za primljene kredite.</w:t>
            </w:r>
            <w:r w:rsidR="000D76BE" w:rsidRPr="001763B9">
              <w:rPr>
                <w:rFonts w:ascii="Times New Roman" w:eastAsia="Times New Roman" w:hAnsi="Times New Roman" w:cs="Times New Roman"/>
                <w:bCs/>
                <w:sz w:val="24"/>
                <w:szCs w:val="24"/>
                <w:lang w:eastAsia="hr-HR"/>
              </w:rPr>
              <w:t xml:space="preserve"> Sukladno Otplatnom planu u 2024. godini za otplatu kamata planirano je 7.600,00 EUR (4.500,00 EUR za kredit HBOR-a i 3.100,00 EUR za kredit kod Zagrebačke banke). </w:t>
            </w:r>
          </w:p>
          <w:p w:rsidR="000D76BE" w:rsidRPr="001763B9" w:rsidRDefault="000D76BE" w:rsidP="0035082C">
            <w:pPr>
              <w:spacing w:after="120" w:line="240" w:lineRule="auto"/>
              <w:jc w:val="both"/>
              <w:rPr>
                <w:rFonts w:ascii="Times New Roman" w:eastAsia="Times New Roman" w:hAnsi="Times New Roman" w:cs="Times New Roman"/>
                <w:bCs/>
                <w:sz w:val="24"/>
                <w:szCs w:val="24"/>
                <w:lang w:eastAsia="hr-HR"/>
              </w:rPr>
            </w:pPr>
            <w:r w:rsidRPr="001763B9">
              <w:rPr>
                <w:rFonts w:ascii="Times New Roman" w:eastAsia="Times New Roman" w:hAnsi="Times New Roman" w:cs="Times New Roman"/>
                <w:bCs/>
                <w:sz w:val="24"/>
                <w:szCs w:val="24"/>
                <w:lang w:eastAsia="hr-HR"/>
              </w:rPr>
              <w:t>Ova aktivnost u potpunosti se financira iz izvora 11 (opći prihodi i primici).</w:t>
            </w:r>
          </w:p>
          <w:p w:rsidR="0035082C" w:rsidRPr="00791DDD" w:rsidRDefault="0035082C" w:rsidP="0035082C">
            <w:pPr>
              <w:spacing w:after="120" w:line="240" w:lineRule="auto"/>
              <w:jc w:val="both"/>
              <w:rPr>
                <w:rFonts w:ascii="Arial" w:eastAsia="Times New Roman" w:hAnsi="Arial" w:cs="Arial"/>
                <w:b/>
                <w:i/>
                <w:sz w:val="18"/>
                <w:szCs w:val="18"/>
                <w:lang w:eastAsia="hr-HR"/>
              </w:rPr>
            </w:pPr>
            <w:r w:rsidRPr="00791DDD">
              <w:rPr>
                <w:rFonts w:ascii="Arial" w:eastAsia="Times New Roman" w:hAnsi="Arial" w:cs="Arial"/>
                <w:b/>
                <w:i/>
                <w:sz w:val="18"/>
                <w:szCs w:val="18"/>
                <w:lang w:eastAsia="hr-HR"/>
              </w:rPr>
              <w:t>Održavanje objekata</w:t>
            </w:r>
          </w:p>
          <w:p w:rsidR="0035082C" w:rsidRDefault="00791DDD" w:rsidP="00791DDD">
            <w:pPr>
              <w:spacing w:after="0" w:line="240" w:lineRule="auto"/>
              <w:jc w:val="both"/>
              <w:rPr>
                <w:rFonts w:ascii="Times New Roman" w:eastAsia="Times New Roman" w:hAnsi="Times New Roman" w:cs="Times New Roman"/>
                <w:bCs/>
                <w:sz w:val="24"/>
                <w:szCs w:val="24"/>
                <w:lang w:eastAsia="hr-HR"/>
              </w:rPr>
            </w:pPr>
            <w:r w:rsidRPr="00BA782D">
              <w:rPr>
                <w:rFonts w:ascii="Times New Roman" w:eastAsia="Times New Roman" w:hAnsi="Times New Roman" w:cs="Times New Roman"/>
                <w:bCs/>
                <w:sz w:val="24"/>
                <w:szCs w:val="24"/>
                <w:lang w:eastAsia="hr-HR"/>
              </w:rPr>
              <w:t>Navedena aktivnost sadrži</w:t>
            </w:r>
            <w:r w:rsidR="0035082C" w:rsidRPr="00BA782D">
              <w:rPr>
                <w:rFonts w:ascii="Times New Roman" w:eastAsia="Times New Roman" w:hAnsi="Times New Roman" w:cs="Times New Roman"/>
                <w:bCs/>
                <w:sz w:val="24"/>
                <w:szCs w:val="24"/>
                <w:lang w:eastAsia="hr-HR"/>
              </w:rPr>
              <w:t xml:space="preserve"> rashode</w:t>
            </w:r>
            <w:r w:rsidR="001E40B5" w:rsidRPr="00BA782D">
              <w:rPr>
                <w:rFonts w:ascii="Times New Roman" w:eastAsia="Times New Roman" w:hAnsi="Times New Roman" w:cs="Times New Roman"/>
                <w:bCs/>
                <w:sz w:val="24"/>
                <w:szCs w:val="24"/>
                <w:lang w:eastAsia="hr-HR"/>
              </w:rPr>
              <w:t xml:space="preserve"> koji se odnose na </w:t>
            </w:r>
            <w:r w:rsidR="0035082C" w:rsidRPr="00BA782D">
              <w:rPr>
                <w:rFonts w:ascii="Times New Roman" w:eastAsia="Times New Roman" w:hAnsi="Times New Roman" w:cs="Times New Roman"/>
                <w:bCs/>
                <w:sz w:val="24"/>
                <w:szCs w:val="24"/>
                <w:lang w:eastAsia="hr-HR"/>
              </w:rPr>
              <w:t>planiran</w:t>
            </w:r>
            <w:r w:rsidR="001E40B5" w:rsidRPr="00BA782D">
              <w:rPr>
                <w:rFonts w:ascii="Times New Roman" w:eastAsia="Times New Roman" w:hAnsi="Times New Roman" w:cs="Times New Roman"/>
                <w:bCs/>
                <w:sz w:val="24"/>
                <w:szCs w:val="24"/>
                <w:lang w:eastAsia="hr-HR"/>
              </w:rPr>
              <w:t>u ugradnju</w:t>
            </w:r>
            <w:r w:rsidR="0035082C" w:rsidRPr="00BA782D">
              <w:rPr>
                <w:rFonts w:ascii="Times New Roman" w:eastAsia="Times New Roman" w:hAnsi="Times New Roman" w:cs="Times New Roman"/>
                <w:bCs/>
                <w:sz w:val="24"/>
                <w:szCs w:val="24"/>
                <w:lang w:eastAsia="hr-HR"/>
              </w:rPr>
              <w:t xml:space="preserve"> vatro</w:t>
            </w:r>
            <w:r w:rsidRPr="00BA782D">
              <w:rPr>
                <w:rFonts w:ascii="Times New Roman" w:eastAsia="Times New Roman" w:hAnsi="Times New Roman" w:cs="Times New Roman"/>
                <w:bCs/>
                <w:sz w:val="24"/>
                <w:szCs w:val="24"/>
                <w:lang w:eastAsia="hr-HR"/>
              </w:rPr>
              <w:t>dojavnog sustava u iznosu od 165.000</w:t>
            </w:r>
            <w:r w:rsidR="0035082C" w:rsidRPr="00BA782D">
              <w:rPr>
                <w:rFonts w:ascii="Times New Roman" w:eastAsia="Times New Roman" w:hAnsi="Times New Roman" w:cs="Times New Roman"/>
                <w:bCs/>
                <w:sz w:val="24"/>
                <w:szCs w:val="24"/>
                <w:lang w:eastAsia="hr-HR"/>
              </w:rPr>
              <w:t>,00 EUR</w:t>
            </w:r>
            <w:r w:rsidR="00BA782D" w:rsidRPr="00BA782D">
              <w:rPr>
                <w:rFonts w:ascii="Times New Roman" w:eastAsia="Times New Roman" w:hAnsi="Times New Roman" w:cs="Times New Roman"/>
                <w:bCs/>
                <w:sz w:val="24"/>
                <w:szCs w:val="24"/>
                <w:lang w:eastAsia="hr-HR"/>
              </w:rPr>
              <w:t>, rashode</w:t>
            </w:r>
            <w:r w:rsidRPr="00BA782D">
              <w:rPr>
                <w:rFonts w:ascii="Times New Roman" w:eastAsia="Times New Roman" w:hAnsi="Times New Roman" w:cs="Times New Roman"/>
                <w:bCs/>
                <w:sz w:val="24"/>
                <w:szCs w:val="24"/>
                <w:lang w:eastAsia="hr-HR"/>
              </w:rPr>
              <w:t xml:space="preserve"> za usluge planirane po hitnim</w:t>
            </w:r>
            <w:r w:rsidR="00117AE2" w:rsidRPr="00BA782D">
              <w:rPr>
                <w:rFonts w:ascii="Times New Roman" w:eastAsia="Times New Roman" w:hAnsi="Times New Roman" w:cs="Times New Roman"/>
                <w:bCs/>
                <w:sz w:val="24"/>
                <w:szCs w:val="24"/>
                <w:lang w:eastAsia="hr-HR"/>
              </w:rPr>
              <w:t xml:space="preserve"> intervencija</w:t>
            </w:r>
            <w:r w:rsidRPr="00BA782D">
              <w:rPr>
                <w:rFonts w:ascii="Times New Roman" w:eastAsia="Times New Roman" w:hAnsi="Times New Roman" w:cs="Times New Roman"/>
                <w:bCs/>
                <w:sz w:val="24"/>
                <w:szCs w:val="24"/>
                <w:lang w:eastAsia="hr-HR"/>
              </w:rPr>
              <w:t>ma</w:t>
            </w:r>
            <w:r w:rsidR="00117AE2" w:rsidRPr="00BA782D">
              <w:rPr>
                <w:rFonts w:ascii="Times New Roman" w:eastAsia="Times New Roman" w:hAnsi="Times New Roman" w:cs="Times New Roman"/>
                <w:bCs/>
                <w:sz w:val="24"/>
                <w:szCs w:val="24"/>
                <w:lang w:eastAsia="hr-HR"/>
              </w:rPr>
              <w:t xml:space="preserve"> u iznosu od 15.926</w:t>
            </w:r>
            <w:r w:rsidR="00BA782D" w:rsidRPr="00BA782D">
              <w:rPr>
                <w:rFonts w:ascii="Times New Roman" w:eastAsia="Times New Roman" w:hAnsi="Times New Roman" w:cs="Times New Roman"/>
                <w:bCs/>
                <w:sz w:val="24"/>
                <w:szCs w:val="24"/>
                <w:lang w:eastAsia="hr-HR"/>
              </w:rPr>
              <w:t>,00 EUR i rashode</w:t>
            </w:r>
            <w:r w:rsidR="0035082C" w:rsidRPr="00BA782D">
              <w:rPr>
                <w:rFonts w:ascii="Times New Roman" w:eastAsia="Times New Roman" w:hAnsi="Times New Roman" w:cs="Times New Roman"/>
                <w:bCs/>
                <w:sz w:val="24"/>
                <w:szCs w:val="24"/>
                <w:lang w:eastAsia="hr-HR"/>
              </w:rPr>
              <w:t xml:space="preserve"> za nabavu nefinancijske imovine</w:t>
            </w:r>
            <w:r w:rsidR="00BA782D" w:rsidRPr="00BA782D">
              <w:rPr>
                <w:rFonts w:ascii="Times New Roman" w:eastAsia="Times New Roman" w:hAnsi="Times New Roman" w:cs="Times New Roman"/>
                <w:bCs/>
                <w:sz w:val="24"/>
                <w:szCs w:val="24"/>
                <w:lang w:eastAsia="hr-HR"/>
              </w:rPr>
              <w:t xml:space="preserve"> gdje je planirana </w:t>
            </w:r>
            <w:r w:rsidR="0035082C" w:rsidRPr="00BA782D">
              <w:rPr>
                <w:rFonts w:ascii="Times New Roman" w:eastAsia="Times New Roman" w:hAnsi="Times New Roman" w:cs="Times New Roman"/>
                <w:bCs/>
                <w:sz w:val="24"/>
                <w:szCs w:val="24"/>
                <w:lang w:eastAsia="hr-HR"/>
              </w:rPr>
              <w:t>kupnja postrojenja i op</w:t>
            </w:r>
            <w:r w:rsidRPr="00BA782D">
              <w:rPr>
                <w:rFonts w:ascii="Times New Roman" w:eastAsia="Times New Roman" w:hAnsi="Times New Roman" w:cs="Times New Roman"/>
                <w:bCs/>
                <w:sz w:val="24"/>
                <w:szCs w:val="24"/>
                <w:lang w:eastAsia="hr-HR"/>
              </w:rPr>
              <w:t>reme u iznosu od 17.254,00 EUR.</w:t>
            </w:r>
          </w:p>
          <w:p w:rsidR="00BA782D" w:rsidRPr="00791DDD" w:rsidRDefault="00BA782D" w:rsidP="00791DDD">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Iako unutar navedene aktivnosti nije došlo do promjene planiranog iznosa financijskih sredstava za tu aktivnost, I. Izmjenama i dopunama Financijskog plana Doma za 2024. godinu promijenjeni su iznosi na pojedinim izvorima financiranja, a promjena se odnosi na financiranje ugradnje vatrodojavnog sustava. Prvotno je planirano kako će</w:t>
            </w:r>
            <w:r w:rsidR="00BE5E83">
              <w:rPr>
                <w:rFonts w:ascii="Times New Roman" w:eastAsia="Times New Roman" w:hAnsi="Times New Roman" w:cs="Times New Roman"/>
                <w:bCs/>
                <w:sz w:val="24"/>
                <w:szCs w:val="24"/>
                <w:lang w:eastAsia="hr-HR"/>
              </w:rPr>
              <w:t xml:space="preserve"> se ukupna sredstva potrebna</w:t>
            </w:r>
            <w:r>
              <w:rPr>
                <w:rFonts w:ascii="Times New Roman" w:eastAsia="Times New Roman" w:hAnsi="Times New Roman" w:cs="Times New Roman"/>
                <w:bCs/>
                <w:sz w:val="24"/>
                <w:szCs w:val="24"/>
                <w:lang w:eastAsia="hr-HR"/>
              </w:rPr>
              <w:t xml:space="preserve"> za ugradnju vatrodojavnog sustava</w:t>
            </w:r>
            <w:r w:rsidR="00BE5E83">
              <w:rPr>
                <w:rFonts w:ascii="Times New Roman" w:eastAsia="Times New Roman" w:hAnsi="Times New Roman" w:cs="Times New Roman"/>
                <w:bCs/>
                <w:sz w:val="24"/>
                <w:szCs w:val="24"/>
                <w:lang w:eastAsia="hr-HR"/>
              </w:rPr>
              <w:t xml:space="preserve"> (165.000,00 </w:t>
            </w:r>
            <w:r w:rsidR="00BE5E83">
              <w:rPr>
                <w:rFonts w:ascii="Times New Roman" w:eastAsia="Times New Roman" w:hAnsi="Times New Roman" w:cs="Times New Roman"/>
                <w:bCs/>
                <w:sz w:val="24"/>
                <w:szCs w:val="24"/>
                <w:lang w:eastAsia="hr-HR"/>
              </w:rPr>
              <w:lastRenderedPageBreak/>
              <w:t>EUR) dobiti iz Proračuna Varaždinske županije (izvor financiranja 11 – opći prihodi i primici). U međuvremenu je Domu za ugradnju vatrodojavnog sustava dio sredstava dodijeljen od strane Ministarstva regionalnoga razvoja i fondova Europske unije u iznosu od 70.000,00 EUR.</w:t>
            </w:r>
            <w:r w:rsidR="001872D2">
              <w:rPr>
                <w:rFonts w:ascii="Times New Roman" w:eastAsia="Times New Roman" w:hAnsi="Times New Roman" w:cs="Times New Roman"/>
                <w:bCs/>
                <w:sz w:val="24"/>
                <w:szCs w:val="24"/>
                <w:lang w:eastAsia="hr-HR"/>
              </w:rPr>
              <w:t xml:space="preserve"> Temeljem navedenog</w:t>
            </w:r>
            <w:r w:rsidR="00BE5E83">
              <w:rPr>
                <w:rFonts w:ascii="Times New Roman" w:eastAsia="Times New Roman" w:hAnsi="Times New Roman" w:cs="Times New Roman"/>
                <w:bCs/>
                <w:sz w:val="24"/>
                <w:szCs w:val="24"/>
                <w:lang w:eastAsia="hr-HR"/>
              </w:rPr>
              <w:t xml:space="preserve"> iz Proračuna Varaždinske županije</w:t>
            </w:r>
            <w:r w:rsidR="001872D2">
              <w:rPr>
                <w:rFonts w:ascii="Times New Roman" w:eastAsia="Times New Roman" w:hAnsi="Times New Roman" w:cs="Times New Roman"/>
                <w:bCs/>
                <w:sz w:val="24"/>
                <w:szCs w:val="24"/>
                <w:lang w:eastAsia="hr-HR"/>
              </w:rPr>
              <w:t xml:space="preserve"> je za ugradnju vatrodojavnog sustava</w:t>
            </w:r>
            <w:r w:rsidR="00BE5E83">
              <w:rPr>
                <w:rFonts w:ascii="Times New Roman" w:eastAsia="Times New Roman" w:hAnsi="Times New Roman" w:cs="Times New Roman"/>
                <w:bCs/>
                <w:sz w:val="24"/>
                <w:szCs w:val="24"/>
                <w:lang w:eastAsia="hr-HR"/>
              </w:rPr>
              <w:t xml:space="preserve"> </w:t>
            </w:r>
            <w:r w:rsidR="001872D2">
              <w:rPr>
                <w:rFonts w:ascii="Times New Roman" w:eastAsia="Times New Roman" w:hAnsi="Times New Roman" w:cs="Times New Roman"/>
                <w:bCs/>
                <w:sz w:val="24"/>
                <w:szCs w:val="24"/>
                <w:lang w:eastAsia="hr-HR"/>
              </w:rPr>
              <w:t>sada planirano 95.000,00 EUR, a ostatak</w:t>
            </w:r>
            <w:r w:rsidR="00226BA1">
              <w:rPr>
                <w:rFonts w:ascii="Times New Roman" w:eastAsia="Times New Roman" w:hAnsi="Times New Roman" w:cs="Times New Roman"/>
                <w:bCs/>
                <w:sz w:val="24"/>
                <w:szCs w:val="24"/>
                <w:lang w:eastAsia="hr-HR"/>
              </w:rPr>
              <w:t xml:space="preserve"> iznosa</w:t>
            </w:r>
            <w:r w:rsidR="001872D2">
              <w:rPr>
                <w:rFonts w:ascii="Times New Roman" w:eastAsia="Times New Roman" w:hAnsi="Times New Roman" w:cs="Times New Roman"/>
                <w:bCs/>
                <w:sz w:val="24"/>
                <w:szCs w:val="24"/>
                <w:lang w:eastAsia="hr-HR"/>
              </w:rPr>
              <w:t xml:space="preserve"> od 70.000,00 EUR stavljen je na poziciju rashoda za zaposlene.</w:t>
            </w:r>
          </w:p>
        </w:tc>
      </w:tr>
      <w:tr w:rsidR="0035082C" w:rsidRPr="0035082C" w:rsidTr="002E0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10579"/>
          <w:tblCellSpacing w:w="20" w:type="dxa"/>
          <w:jc w:val="center"/>
        </w:trPr>
        <w:tc>
          <w:tcPr>
            <w:tcW w:w="10119" w:type="dxa"/>
            <w:tcBorders>
              <w:top w:val="dotted" w:sz="4" w:space="0" w:color="auto"/>
              <w:left w:val="single" w:sz="4" w:space="0" w:color="A6A6A6"/>
              <w:bottom w:val="single" w:sz="4" w:space="0" w:color="A6A6A6"/>
              <w:right w:val="single" w:sz="4" w:space="0" w:color="A6A6A6"/>
            </w:tcBorders>
            <w:shd w:val="clear" w:color="auto" w:fill="auto"/>
          </w:tcPr>
          <w:p w:rsidR="0035082C" w:rsidRPr="0035082C" w:rsidRDefault="0035082C" w:rsidP="0035082C">
            <w:pPr>
              <w:spacing w:before="120" w:after="120" w:line="240" w:lineRule="auto"/>
              <w:jc w:val="both"/>
              <w:rPr>
                <w:rFonts w:ascii="Arial" w:eastAsia="Times New Roman" w:hAnsi="Arial" w:cs="Arial"/>
                <w:b/>
                <w:sz w:val="18"/>
                <w:szCs w:val="18"/>
                <w:lang w:eastAsia="hr-HR"/>
              </w:rPr>
            </w:pPr>
            <w:r w:rsidRPr="0035082C">
              <w:rPr>
                <w:rFonts w:ascii="Arial" w:eastAsia="Times New Roman" w:hAnsi="Arial" w:cs="Arial"/>
                <w:b/>
                <w:sz w:val="18"/>
                <w:szCs w:val="18"/>
                <w:lang w:eastAsia="hr-HR"/>
              </w:rPr>
              <w:lastRenderedPageBreak/>
              <w:t xml:space="preserve">CILJEVI I POKAZATELJI USPJEŠNOSTI KOJIMA ĆE SE MJERITI OSTVARENJE CILJEVA: </w:t>
            </w:r>
          </w:p>
          <w:tbl>
            <w:tblPr>
              <w:tblW w:w="103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87"/>
              <w:gridCol w:w="1487"/>
              <w:gridCol w:w="1077"/>
              <w:gridCol w:w="1418"/>
              <w:gridCol w:w="1017"/>
              <w:gridCol w:w="1286"/>
              <w:gridCol w:w="1286"/>
              <w:gridCol w:w="1286"/>
            </w:tblGrid>
            <w:tr w:rsidR="0035082C" w:rsidRPr="0035082C" w:rsidTr="0035082C">
              <w:tc>
                <w:tcPr>
                  <w:tcW w:w="1485" w:type="dxa"/>
                  <w:shd w:val="clear" w:color="auto" w:fill="F2F2F2"/>
                </w:tcPr>
                <w:p w:rsidR="0035082C" w:rsidRPr="0035082C" w:rsidRDefault="0035082C" w:rsidP="0035082C">
                  <w:pPr>
                    <w:spacing w:before="120" w:after="0" w:line="240" w:lineRule="auto"/>
                    <w:jc w:val="center"/>
                    <w:rPr>
                      <w:rFonts w:ascii="Arial" w:eastAsia="Times New Roman" w:hAnsi="Arial" w:cs="Arial"/>
                      <w:b/>
                      <w:sz w:val="18"/>
                      <w:szCs w:val="18"/>
                      <w:lang w:eastAsia="hr-HR"/>
                    </w:rPr>
                  </w:pPr>
                  <w:r w:rsidRPr="0035082C">
                    <w:rPr>
                      <w:rFonts w:ascii="Arial" w:eastAsia="Times New Roman" w:hAnsi="Arial" w:cs="Arial"/>
                      <w:b/>
                      <w:sz w:val="18"/>
                      <w:szCs w:val="18"/>
                      <w:lang w:eastAsia="hr-HR"/>
                    </w:rPr>
                    <w:t>Pokazatelj</w:t>
                  </w:r>
                </w:p>
              </w:tc>
              <w:tc>
                <w:tcPr>
                  <w:tcW w:w="1485" w:type="dxa"/>
                  <w:shd w:val="clear" w:color="auto" w:fill="F2F2F2"/>
                </w:tcPr>
                <w:p w:rsidR="0035082C" w:rsidRPr="0035082C" w:rsidRDefault="0035082C" w:rsidP="0035082C">
                  <w:pPr>
                    <w:spacing w:before="120" w:after="0" w:line="240" w:lineRule="auto"/>
                    <w:jc w:val="center"/>
                    <w:rPr>
                      <w:rFonts w:ascii="Arial" w:eastAsia="Times New Roman" w:hAnsi="Arial" w:cs="Arial"/>
                      <w:b/>
                      <w:sz w:val="18"/>
                      <w:szCs w:val="18"/>
                      <w:lang w:eastAsia="hr-HR"/>
                    </w:rPr>
                  </w:pPr>
                  <w:r w:rsidRPr="0035082C">
                    <w:rPr>
                      <w:rFonts w:ascii="Arial" w:eastAsia="Times New Roman" w:hAnsi="Arial" w:cs="Arial"/>
                      <w:b/>
                      <w:sz w:val="18"/>
                      <w:szCs w:val="18"/>
                      <w:lang w:eastAsia="hr-HR"/>
                    </w:rPr>
                    <w:t>Definicija</w:t>
                  </w:r>
                </w:p>
              </w:tc>
              <w:tc>
                <w:tcPr>
                  <w:tcW w:w="1075" w:type="dxa"/>
                  <w:shd w:val="clear" w:color="auto" w:fill="F2F2F2"/>
                </w:tcPr>
                <w:p w:rsidR="0035082C" w:rsidRPr="0035082C" w:rsidRDefault="0035082C" w:rsidP="0035082C">
                  <w:pPr>
                    <w:spacing w:before="120" w:after="0" w:line="240" w:lineRule="auto"/>
                    <w:jc w:val="center"/>
                    <w:rPr>
                      <w:rFonts w:ascii="Arial" w:eastAsia="Times New Roman" w:hAnsi="Arial" w:cs="Arial"/>
                      <w:b/>
                      <w:sz w:val="18"/>
                      <w:szCs w:val="18"/>
                      <w:lang w:eastAsia="hr-HR"/>
                    </w:rPr>
                  </w:pPr>
                  <w:r w:rsidRPr="0035082C">
                    <w:rPr>
                      <w:rFonts w:ascii="Arial" w:eastAsia="Times New Roman" w:hAnsi="Arial" w:cs="Arial"/>
                      <w:b/>
                      <w:sz w:val="18"/>
                      <w:szCs w:val="18"/>
                      <w:lang w:eastAsia="hr-HR"/>
                    </w:rPr>
                    <w:t>Jedinica</w:t>
                  </w:r>
                </w:p>
              </w:tc>
              <w:tc>
                <w:tcPr>
                  <w:tcW w:w="1435" w:type="dxa"/>
                  <w:shd w:val="clear" w:color="auto" w:fill="F2F2F2"/>
                  <w:vAlign w:val="center"/>
                </w:tcPr>
                <w:p w:rsidR="0035082C" w:rsidRPr="0035082C" w:rsidRDefault="0035082C" w:rsidP="0035082C">
                  <w:pPr>
                    <w:keepNext/>
                    <w:spacing w:after="0" w:line="240" w:lineRule="auto"/>
                    <w:jc w:val="center"/>
                    <w:outlineLvl w:val="6"/>
                    <w:rPr>
                      <w:rFonts w:ascii="Arial" w:eastAsia="Times New Roman" w:hAnsi="Arial" w:cs="Arial"/>
                      <w:b/>
                      <w:bCs/>
                      <w:sz w:val="18"/>
                      <w:szCs w:val="18"/>
                      <w:lang w:val="x-none" w:eastAsia="x-none"/>
                    </w:rPr>
                  </w:pPr>
                  <w:r w:rsidRPr="0035082C">
                    <w:rPr>
                      <w:rFonts w:ascii="Arial" w:eastAsia="Times New Roman" w:hAnsi="Arial" w:cs="Arial"/>
                      <w:b/>
                      <w:bCs/>
                      <w:sz w:val="18"/>
                      <w:szCs w:val="18"/>
                      <w:lang w:val="x-none" w:eastAsia="x-none"/>
                    </w:rPr>
                    <w:t>Polazna vrijednost</w:t>
                  </w:r>
                </w:p>
              </w:tc>
              <w:tc>
                <w:tcPr>
                  <w:tcW w:w="1015" w:type="dxa"/>
                  <w:shd w:val="clear" w:color="auto" w:fill="F2F2F2"/>
                  <w:vAlign w:val="center"/>
                </w:tcPr>
                <w:p w:rsidR="0035082C" w:rsidRPr="0035082C" w:rsidRDefault="0035082C" w:rsidP="0035082C">
                  <w:pPr>
                    <w:keepNext/>
                    <w:spacing w:after="0" w:line="240" w:lineRule="auto"/>
                    <w:jc w:val="center"/>
                    <w:outlineLvl w:val="6"/>
                    <w:rPr>
                      <w:rFonts w:ascii="Arial" w:eastAsia="Times New Roman" w:hAnsi="Arial" w:cs="Arial"/>
                      <w:b/>
                      <w:bCs/>
                      <w:sz w:val="18"/>
                      <w:szCs w:val="18"/>
                      <w:lang w:val="x-none" w:eastAsia="x-none"/>
                    </w:rPr>
                  </w:pPr>
                  <w:r w:rsidRPr="0035082C">
                    <w:rPr>
                      <w:rFonts w:ascii="Arial" w:eastAsia="Times New Roman" w:hAnsi="Arial" w:cs="Arial"/>
                      <w:b/>
                      <w:bCs/>
                      <w:sz w:val="18"/>
                      <w:szCs w:val="18"/>
                      <w:lang w:val="x-none" w:eastAsia="x-none"/>
                    </w:rPr>
                    <w:t>Izvor podataka</w:t>
                  </w:r>
                </w:p>
              </w:tc>
              <w:tc>
                <w:tcPr>
                  <w:tcW w:w="1283" w:type="dxa"/>
                  <w:shd w:val="clear" w:color="auto" w:fill="F2F2F2"/>
                  <w:vAlign w:val="center"/>
                </w:tcPr>
                <w:p w:rsidR="0035082C" w:rsidRPr="0035082C" w:rsidRDefault="002F5BFC" w:rsidP="0035082C">
                  <w:pPr>
                    <w:keepNext/>
                    <w:spacing w:after="0" w:line="240" w:lineRule="auto"/>
                    <w:jc w:val="center"/>
                    <w:outlineLvl w:val="6"/>
                    <w:rPr>
                      <w:rFonts w:ascii="Arial" w:eastAsia="Times New Roman" w:hAnsi="Arial" w:cs="Arial"/>
                      <w:b/>
                      <w:bCs/>
                      <w:sz w:val="18"/>
                      <w:szCs w:val="18"/>
                      <w:lang w:val="x-none" w:eastAsia="x-none"/>
                    </w:rPr>
                  </w:pPr>
                  <w:r>
                    <w:rPr>
                      <w:rFonts w:ascii="Arial" w:eastAsia="Times New Roman" w:hAnsi="Arial" w:cs="Arial"/>
                      <w:b/>
                      <w:bCs/>
                      <w:sz w:val="18"/>
                      <w:szCs w:val="18"/>
                      <w:lang w:val="x-none" w:eastAsia="x-none"/>
                    </w:rPr>
                    <w:t>Ciljana vrijednost 202</w:t>
                  </w:r>
                  <w:r>
                    <w:rPr>
                      <w:rFonts w:ascii="Arial" w:eastAsia="Times New Roman" w:hAnsi="Arial" w:cs="Arial"/>
                      <w:b/>
                      <w:bCs/>
                      <w:sz w:val="18"/>
                      <w:szCs w:val="18"/>
                      <w:lang w:eastAsia="x-none"/>
                    </w:rPr>
                    <w:t>4</w:t>
                  </w:r>
                  <w:r w:rsidR="0035082C" w:rsidRPr="0035082C">
                    <w:rPr>
                      <w:rFonts w:ascii="Arial" w:eastAsia="Times New Roman" w:hAnsi="Arial" w:cs="Arial"/>
                      <w:b/>
                      <w:bCs/>
                      <w:sz w:val="18"/>
                      <w:szCs w:val="18"/>
                      <w:lang w:val="x-none" w:eastAsia="x-none"/>
                    </w:rPr>
                    <w:t>.</w:t>
                  </w:r>
                </w:p>
              </w:tc>
              <w:tc>
                <w:tcPr>
                  <w:tcW w:w="1283" w:type="dxa"/>
                  <w:shd w:val="clear" w:color="auto" w:fill="F2F2F2"/>
                  <w:vAlign w:val="center"/>
                </w:tcPr>
                <w:p w:rsidR="0035082C" w:rsidRPr="0035082C" w:rsidRDefault="0035082C" w:rsidP="0035082C">
                  <w:pPr>
                    <w:keepNext/>
                    <w:spacing w:after="0" w:line="240" w:lineRule="auto"/>
                    <w:jc w:val="center"/>
                    <w:outlineLvl w:val="6"/>
                    <w:rPr>
                      <w:rFonts w:ascii="Arial" w:eastAsia="Times New Roman" w:hAnsi="Arial" w:cs="Arial"/>
                      <w:b/>
                      <w:bCs/>
                      <w:sz w:val="18"/>
                      <w:szCs w:val="18"/>
                      <w:lang w:val="x-none" w:eastAsia="x-none"/>
                    </w:rPr>
                  </w:pPr>
                  <w:r w:rsidRPr="0035082C">
                    <w:rPr>
                      <w:rFonts w:ascii="Arial" w:eastAsia="Times New Roman" w:hAnsi="Arial" w:cs="Arial"/>
                      <w:b/>
                      <w:bCs/>
                      <w:sz w:val="18"/>
                      <w:szCs w:val="18"/>
                      <w:lang w:val="x-none" w:eastAsia="x-none"/>
                    </w:rPr>
                    <w:t>Ciljana</w:t>
                  </w:r>
                  <w:r w:rsidR="002F5BFC">
                    <w:rPr>
                      <w:rFonts w:ascii="Arial" w:eastAsia="Times New Roman" w:hAnsi="Arial" w:cs="Arial"/>
                      <w:b/>
                      <w:bCs/>
                      <w:sz w:val="18"/>
                      <w:szCs w:val="18"/>
                      <w:lang w:val="x-none" w:eastAsia="x-none"/>
                    </w:rPr>
                    <w:t xml:space="preserve"> vrijednost 202</w:t>
                  </w:r>
                  <w:r w:rsidR="002F5BFC">
                    <w:rPr>
                      <w:rFonts w:ascii="Arial" w:eastAsia="Times New Roman" w:hAnsi="Arial" w:cs="Arial"/>
                      <w:b/>
                      <w:bCs/>
                      <w:sz w:val="18"/>
                      <w:szCs w:val="18"/>
                      <w:lang w:eastAsia="x-none"/>
                    </w:rPr>
                    <w:t>5</w:t>
                  </w:r>
                  <w:r w:rsidRPr="0035082C">
                    <w:rPr>
                      <w:rFonts w:ascii="Arial" w:eastAsia="Times New Roman" w:hAnsi="Arial" w:cs="Arial"/>
                      <w:b/>
                      <w:bCs/>
                      <w:sz w:val="18"/>
                      <w:szCs w:val="18"/>
                      <w:lang w:val="x-none" w:eastAsia="x-none"/>
                    </w:rPr>
                    <w:t>.</w:t>
                  </w:r>
                </w:p>
              </w:tc>
              <w:tc>
                <w:tcPr>
                  <w:tcW w:w="1283" w:type="dxa"/>
                  <w:shd w:val="clear" w:color="auto" w:fill="F2F2F2"/>
                  <w:vAlign w:val="center"/>
                </w:tcPr>
                <w:p w:rsidR="0035082C" w:rsidRPr="0035082C" w:rsidRDefault="002F5BFC" w:rsidP="0035082C">
                  <w:pPr>
                    <w:keepNext/>
                    <w:spacing w:after="0" w:line="240" w:lineRule="auto"/>
                    <w:jc w:val="center"/>
                    <w:outlineLvl w:val="6"/>
                    <w:rPr>
                      <w:rFonts w:ascii="Arial" w:eastAsia="Times New Roman" w:hAnsi="Arial" w:cs="Arial"/>
                      <w:b/>
                      <w:bCs/>
                      <w:sz w:val="18"/>
                      <w:szCs w:val="18"/>
                      <w:lang w:val="x-none" w:eastAsia="x-none"/>
                    </w:rPr>
                  </w:pPr>
                  <w:r>
                    <w:rPr>
                      <w:rFonts w:ascii="Arial" w:eastAsia="Times New Roman" w:hAnsi="Arial" w:cs="Arial"/>
                      <w:b/>
                      <w:bCs/>
                      <w:sz w:val="18"/>
                      <w:szCs w:val="18"/>
                      <w:lang w:val="x-none" w:eastAsia="x-none"/>
                    </w:rPr>
                    <w:t>Ciljana vrijednost 202</w:t>
                  </w:r>
                  <w:r>
                    <w:rPr>
                      <w:rFonts w:ascii="Arial" w:eastAsia="Times New Roman" w:hAnsi="Arial" w:cs="Arial"/>
                      <w:b/>
                      <w:bCs/>
                      <w:sz w:val="18"/>
                      <w:szCs w:val="18"/>
                      <w:lang w:eastAsia="x-none"/>
                    </w:rPr>
                    <w:t>6</w:t>
                  </w:r>
                  <w:r w:rsidR="0035082C" w:rsidRPr="0035082C">
                    <w:rPr>
                      <w:rFonts w:ascii="Arial" w:eastAsia="Times New Roman" w:hAnsi="Arial" w:cs="Arial"/>
                      <w:b/>
                      <w:bCs/>
                      <w:sz w:val="18"/>
                      <w:szCs w:val="18"/>
                      <w:lang w:val="x-none" w:eastAsia="x-none"/>
                    </w:rPr>
                    <w:t>.</w:t>
                  </w:r>
                </w:p>
              </w:tc>
            </w:tr>
            <w:tr w:rsidR="0035082C" w:rsidRPr="0035082C" w:rsidTr="0035082C">
              <w:tc>
                <w:tcPr>
                  <w:tcW w:w="1485"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Velika zainteresiranost  potencijalnih korisnika za smještaj u naš Dom</w:t>
                  </w:r>
                </w:p>
              </w:tc>
              <w:tc>
                <w:tcPr>
                  <w:tcW w:w="1485" w:type="dxa"/>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Osigurati kvalitetnu uslugu, urediti unutrašnjost Doma kako bi uvijek mogli imati veliku zainteresiranost</w:t>
                  </w:r>
                </w:p>
              </w:tc>
              <w:tc>
                <w:tcPr>
                  <w:tcW w:w="1075"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Broj korisnika</w:t>
                  </w:r>
                </w:p>
              </w:tc>
              <w:tc>
                <w:tcPr>
                  <w:tcW w:w="1435" w:type="dxa"/>
                  <w:shd w:val="clear" w:color="auto" w:fill="auto"/>
                  <w:vAlign w:val="center"/>
                </w:tcPr>
                <w:p w:rsidR="0035082C" w:rsidRDefault="007A32AF" w:rsidP="0035082C">
                  <w:pPr>
                    <w:spacing w:before="120"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2.542</w:t>
                  </w:r>
                </w:p>
                <w:p w:rsidR="007A32AF" w:rsidRPr="0035082C" w:rsidRDefault="007A32AF" w:rsidP="0035082C">
                  <w:pPr>
                    <w:spacing w:before="120"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(sa 24.10.2023.)</w:t>
                  </w:r>
                </w:p>
              </w:tc>
              <w:tc>
                <w:tcPr>
                  <w:tcW w:w="1015" w:type="dxa"/>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Dom</w:t>
                  </w:r>
                </w:p>
              </w:tc>
              <w:tc>
                <w:tcPr>
                  <w:tcW w:w="1283" w:type="dxa"/>
                  <w:shd w:val="clear" w:color="auto" w:fill="auto"/>
                  <w:vAlign w:val="center"/>
                </w:tcPr>
                <w:p w:rsidR="0035082C" w:rsidRPr="0035082C" w:rsidRDefault="007A32AF" w:rsidP="0035082C">
                  <w:pPr>
                    <w:spacing w:before="120"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2.545</w:t>
                  </w:r>
                </w:p>
              </w:tc>
              <w:tc>
                <w:tcPr>
                  <w:tcW w:w="1283" w:type="dxa"/>
                  <w:shd w:val="clear" w:color="auto" w:fill="auto"/>
                  <w:vAlign w:val="center"/>
                </w:tcPr>
                <w:p w:rsidR="0035082C" w:rsidRPr="0035082C" w:rsidRDefault="007A32AF" w:rsidP="0035082C">
                  <w:pPr>
                    <w:spacing w:before="120"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2.550</w:t>
                  </w:r>
                </w:p>
              </w:tc>
              <w:tc>
                <w:tcPr>
                  <w:tcW w:w="1283" w:type="dxa"/>
                  <w:shd w:val="clear" w:color="auto" w:fill="auto"/>
                  <w:vAlign w:val="center"/>
                </w:tcPr>
                <w:p w:rsidR="0035082C" w:rsidRPr="0035082C" w:rsidRDefault="007A32AF" w:rsidP="0035082C">
                  <w:pPr>
                    <w:spacing w:before="120"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2.560</w:t>
                  </w:r>
                </w:p>
              </w:tc>
            </w:tr>
            <w:tr w:rsidR="0035082C" w:rsidRPr="0035082C" w:rsidTr="0035082C">
              <w:tc>
                <w:tcPr>
                  <w:tcW w:w="1485" w:type="dxa"/>
                  <w:shd w:val="clear" w:color="auto" w:fill="auto"/>
                  <w:vAlign w:val="center"/>
                </w:tcPr>
                <w:p w:rsidR="0035082C" w:rsidRPr="0035082C" w:rsidRDefault="0035082C" w:rsidP="0035082C">
                  <w:pPr>
                    <w:spacing w:after="0" w:line="240" w:lineRule="auto"/>
                    <w:jc w:val="center"/>
                    <w:rPr>
                      <w:rFonts w:ascii="Arial" w:eastAsia="Times New Roman" w:hAnsi="Arial" w:cs="Arial"/>
                      <w:sz w:val="18"/>
                      <w:szCs w:val="18"/>
                      <w:lang w:eastAsia="hr-HR"/>
                    </w:rPr>
                  </w:pPr>
                  <w:r w:rsidRPr="0035082C">
                    <w:rPr>
                      <w:rFonts w:ascii="Arial" w:eastAsia="Times New Roman" w:hAnsi="Arial" w:cs="Arial"/>
                      <w:color w:val="000000"/>
                      <w:sz w:val="18"/>
                      <w:szCs w:val="18"/>
                      <w:lang w:eastAsia="hr-HR"/>
                    </w:rPr>
                    <w:t>Rashodi za</w:t>
                  </w:r>
                </w:p>
                <w:p w:rsidR="0035082C" w:rsidRPr="0035082C" w:rsidRDefault="0035082C" w:rsidP="0035082C">
                  <w:pPr>
                    <w:spacing w:after="0" w:line="240" w:lineRule="auto"/>
                    <w:jc w:val="center"/>
                    <w:rPr>
                      <w:rFonts w:ascii="Arial" w:eastAsia="Times New Roman" w:hAnsi="Arial" w:cs="Arial"/>
                      <w:sz w:val="18"/>
                      <w:szCs w:val="18"/>
                      <w:lang w:eastAsia="hr-HR"/>
                    </w:rPr>
                  </w:pPr>
                  <w:r w:rsidRPr="0035082C">
                    <w:rPr>
                      <w:rFonts w:ascii="Arial" w:eastAsia="Times New Roman" w:hAnsi="Arial" w:cs="Arial"/>
                      <w:color w:val="000000"/>
                      <w:sz w:val="18"/>
                      <w:szCs w:val="18"/>
                      <w:lang w:eastAsia="hr-HR"/>
                    </w:rPr>
                    <w:t>zaposlene i</w:t>
                  </w:r>
                </w:p>
                <w:p w:rsidR="0035082C" w:rsidRPr="0035082C" w:rsidRDefault="0035082C" w:rsidP="0035082C">
                  <w:pPr>
                    <w:spacing w:after="0" w:line="240" w:lineRule="auto"/>
                    <w:ind w:hanging="42"/>
                    <w:jc w:val="center"/>
                    <w:rPr>
                      <w:rFonts w:ascii="Arial" w:eastAsia="Times New Roman" w:hAnsi="Arial" w:cs="Arial"/>
                      <w:sz w:val="18"/>
                      <w:szCs w:val="18"/>
                      <w:lang w:eastAsia="hr-HR"/>
                    </w:rPr>
                  </w:pPr>
                  <w:r w:rsidRPr="0035082C">
                    <w:rPr>
                      <w:rFonts w:ascii="Arial" w:eastAsia="Times New Roman" w:hAnsi="Arial" w:cs="Arial"/>
                      <w:color w:val="000000"/>
                      <w:sz w:val="18"/>
                      <w:szCs w:val="18"/>
                      <w:lang w:eastAsia="hr-HR"/>
                    </w:rPr>
                    <w:t>rashodi za</w:t>
                  </w:r>
                </w:p>
                <w:p w:rsidR="0035082C" w:rsidRPr="0035082C" w:rsidRDefault="0035082C" w:rsidP="0035082C">
                  <w:pPr>
                    <w:spacing w:after="0" w:line="240" w:lineRule="auto"/>
                    <w:jc w:val="center"/>
                    <w:rPr>
                      <w:rFonts w:ascii="Arial" w:eastAsia="Times New Roman" w:hAnsi="Arial" w:cs="Arial"/>
                      <w:sz w:val="18"/>
                      <w:szCs w:val="18"/>
                      <w:lang w:eastAsia="hr-HR"/>
                    </w:rPr>
                  </w:pPr>
                  <w:r w:rsidRPr="0035082C">
                    <w:rPr>
                      <w:rFonts w:ascii="Arial" w:eastAsia="Times New Roman" w:hAnsi="Arial" w:cs="Arial"/>
                      <w:color w:val="000000"/>
                      <w:sz w:val="18"/>
                      <w:szCs w:val="18"/>
                      <w:lang w:eastAsia="hr-HR"/>
                    </w:rPr>
                    <w:t>materijalna</w:t>
                  </w:r>
                </w:p>
                <w:p w:rsidR="0035082C" w:rsidRPr="0035082C" w:rsidRDefault="0035082C" w:rsidP="0035082C">
                  <w:pPr>
                    <w:spacing w:after="0" w:line="240" w:lineRule="auto"/>
                    <w:jc w:val="center"/>
                    <w:rPr>
                      <w:rFonts w:ascii="Arial" w:eastAsia="Times New Roman" w:hAnsi="Arial" w:cs="Arial"/>
                      <w:sz w:val="18"/>
                      <w:szCs w:val="18"/>
                      <w:lang w:eastAsia="hr-HR"/>
                    </w:rPr>
                  </w:pPr>
                  <w:r w:rsidRPr="0035082C">
                    <w:rPr>
                      <w:rFonts w:ascii="Arial" w:eastAsia="Times New Roman" w:hAnsi="Arial" w:cs="Arial"/>
                      <w:color w:val="000000"/>
                      <w:sz w:val="18"/>
                      <w:szCs w:val="18"/>
                      <w:lang w:eastAsia="hr-HR"/>
                    </w:rPr>
                    <w:t>prava   zaposlenih</w:t>
                  </w:r>
                </w:p>
              </w:tc>
              <w:tc>
                <w:tcPr>
                  <w:tcW w:w="1485" w:type="dxa"/>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Praćenje datuma isplate plaće u toku godine</w:t>
                  </w:r>
                </w:p>
              </w:tc>
              <w:tc>
                <w:tcPr>
                  <w:tcW w:w="1075"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Datum isplate rashoda za zaposlene je najkasnije 15. u tekućem mjesecu za prethodni</w:t>
                  </w:r>
                </w:p>
              </w:tc>
              <w:tc>
                <w:tcPr>
                  <w:tcW w:w="1435"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Obračun plaće radnika</w:t>
                  </w:r>
                </w:p>
              </w:tc>
              <w:tc>
                <w:tcPr>
                  <w:tcW w:w="1015" w:type="dxa"/>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Datum isplate plaće najkasnije do 15. u tekućem mjesecu za prethodni</w:t>
                  </w:r>
                </w:p>
              </w:tc>
              <w:tc>
                <w:tcPr>
                  <w:tcW w:w="1283"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Datum isplate plaće najkasnije do 15. u tekućem mjesecu za prethodni</w:t>
                  </w:r>
                </w:p>
              </w:tc>
              <w:tc>
                <w:tcPr>
                  <w:tcW w:w="1283"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Datum isplate plaće najkasnije do 15. u tekućem mjesecu za prethodni</w:t>
                  </w:r>
                </w:p>
              </w:tc>
              <w:tc>
                <w:tcPr>
                  <w:tcW w:w="1283"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Datum isplate plaće najkasnije do 15. u tekućem mjesecu za prethodni</w:t>
                  </w:r>
                </w:p>
              </w:tc>
            </w:tr>
            <w:tr w:rsidR="0035082C" w:rsidRPr="0035082C" w:rsidTr="0035082C">
              <w:trPr>
                <w:trHeight w:val="2218"/>
              </w:trPr>
              <w:tc>
                <w:tcPr>
                  <w:tcW w:w="1485"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Rashodi za materijal i energiju, rashodi za usluge, financijski rashodi</w:t>
                  </w:r>
                </w:p>
                <w:p w:rsidR="0035082C" w:rsidRPr="0035082C" w:rsidRDefault="0035082C" w:rsidP="0035082C">
                  <w:pPr>
                    <w:spacing w:before="120" w:after="0" w:line="240" w:lineRule="auto"/>
                    <w:ind w:firstLine="709"/>
                    <w:jc w:val="center"/>
                    <w:rPr>
                      <w:rFonts w:ascii="Arial" w:eastAsia="Times New Roman" w:hAnsi="Arial" w:cs="Arial"/>
                      <w:sz w:val="18"/>
                      <w:szCs w:val="18"/>
                      <w:lang w:eastAsia="hr-HR"/>
                    </w:rPr>
                  </w:pPr>
                </w:p>
              </w:tc>
              <w:tc>
                <w:tcPr>
                  <w:tcW w:w="1485" w:type="dxa"/>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Datum plaćanja računa jednak je datumu dospijeća računa dobavljača</w:t>
                  </w:r>
                </w:p>
              </w:tc>
              <w:tc>
                <w:tcPr>
                  <w:tcW w:w="1075" w:type="dxa"/>
                  <w:shd w:val="clear" w:color="auto" w:fill="auto"/>
                  <w:vAlign w:val="center"/>
                </w:tcPr>
                <w:p w:rsidR="0035082C" w:rsidRPr="0035082C" w:rsidRDefault="0035082C" w:rsidP="0035082C">
                  <w:pPr>
                    <w:spacing w:after="0" w:line="240" w:lineRule="auto"/>
                    <w:jc w:val="center"/>
                    <w:rPr>
                      <w:rFonts w:ascii="Arial" w:eastAsia="Times New Roman" w:hAnsi="Arial" w:cs="Arial"/>
                      <w:sz w:val="18"/>
                      <w:szCs w:val="18"/>
                      <w:lang w:eastAsia="hr-HR"/>
                    </w:rPr>
                  </w:pPr>
                  <w:r w:rsidRPr="0035082C">
                    <w:rPr>
                      <w:rFonts w:ascii="Arial" w:eastAsia="Times New Roman" w:hAnsi="Arial" w:cs="Arial"/>
                      <w:color w:val="000000"/>
                      <w:sz w:val="18"/>
                      <w:szCs w:val="18"/>
                      <w:lang w:eastAsia="hr-HR"/>
                    </w:rPr>
                    <w:t>Datum</w:t>
                  </w:r>
                </w:p>
                <w:p w:rsidR="0035082C" w:rsidRPr="0035082C" w:rsidRDefault="0035082C" w:rsidP="0035082C">
                  <w:pPr>
                    <w:spacing w:after="0" w:line="240" w:lineRule="auto"/>
                    <w:jc w:val="center"/>
                    <w:rPr>
                      <w:rFonts w:ascii="Arial" w:eastAsia="Times New Roman" w:hAnsi="Arial" w:cs="Arial"/>
                      <w:sz w:val="18"/>
                      <w:szCs w:val="18"/>
                      <w:lang w:eastAsia="hr-HR"/>
                    </w:rPr>
                  </w:pPr>
                  <w:r w:rsidRPr="0035082C">
                    <w:rPr>
                      <w:rFonts w:ascii="Arial" w:eastAsia="Times New Roman" w:hAnsi="Arial" w:cs="Arial"/>
                      <w:color w:val="000000"/>
                      <w:sz w:val="18"/>
                      <w:szCs w:val="18"/>
                      <w:lang w:eastAsia="hr-HR"/>
                    </w:rPr>
                    <w:t>plaćanja</w:t>
                  </w:r>
                </w:p>
                <w:p w:rsidR="0035082C" w:rsidRPr="0035082C" w:rsidRDefault="0035082C" w:rsidP="0035082C">
                  <w:pPr>
                    <w:spacing w:after="0" w:line="240" w:lineRule="auto"/>
                    <w:jc w:val="center"/>
                    <w:rPr>
                      <w:rFonts w:ascii="Arial" w:eastAsia="Times New Roman" w:hAnsi="Arial" w:cs="Arial"/>
                      <w:sz w:val="18"/>
                      <w:szCs w:val="18"/>
                      <w:lang w:eastAsia="hr-HR"/>
                    </w:rPr>
                  </w:pPr>
                  <w:r w:rsidRPr="0035082C">
                    <w:rPr>
                      <w:rFonts w:ascii="Arial" w:eastAsia="Times New Roman" w:hAnsi="Arial" w:cs="Arial"/>
                      <w:color w:val="000000"/>
                      <w:sz w:val="18"/>
                      <w:szCs w:val="18"/>
                      <w:lang w:eastAsia="hr-HR"/>
                    </w:rPr>
                    <w:t>računa manji</w:t>
                  </w:r>
                  <w:r w:rsidRPr="0035082C">
                    <w:rPr>
                      <w:rFonts w:ascii="Arial" w:eastAsia="Times New Roman" w:hAnsi="Arial" w:cs="Arial"/>
                      <w:sz w:val="18"/>
                      <w:szCs w:val="18"/>
                      <w:lang w:eastAsia="hr-HR"/>
                    </w:rPr>
                    <w:t xml:space="preserve"> </w:t>
                  </w:r>
                  <w:r w:rsidRPr="0035082C">
                    <w:rPr>
                      <w:rFonts w:ascii="Arial" w:eastAsia="Times New Roman" w:hAnsi="Arial" w:cs="Arial"/>
                      <w:color w:val="000000"/>
                      <w:sz w:val="18"/>
                      <w:szCs w:val="18"/>
                      <w:lang w:eastAsia="hr-HR"/>
                    </w:rPr>
                    <w:t>je ili jednaki</w:t>
                  </w:r>
                </w:p>
                <w:p w:rsidR="0035082C" w:rsidRPr="0035082C" w:rsidRDefault="0035082C" w:rsidP="0035082C">
                  <w:pPr>
                    <w:spacing w:after="0" w:line="240" w:lineRule="auto"/>
                    <w:jc w:val="center"/>
                    <w:rPr>
                      <w:rFonts w:ascii="Arial" w:eastAsia="Times New Roman" w:hAnsi="Arial" w:cs="Arial"/>
                      <w:sz w:val="18"/>
                      <w:szCs w:val="18"/>
                      <w:lang w:eastAsia="hr-HR"/>
                    </w:rPr>
                  </w:pPr>
                  <w:r w:rsidRPr="0035082C">
                    <w:rPr>
                      <w:rFonts w:ascii="Arial" w:eastAsia="Times New Roman" w:hAnsi="Arial" w:cs="Arial"/>
                      <w:color w:val="000000"/>
                      <w:sz w:val="18"/>
                      <w:szCs w:val="18"/>
                      <w:lang w:eastAsia="hr-HR"/>
                    </w:rPr>
                    <w:t>datumu</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Arial" w:eastAsia="Times New Roman" w:hAnsi="Arial" w:cs="Arial"/>
                      <w:color w:val="000000"/>
                      <w:sz w:val="18"/>
                      <w:szCs w:val="18"/>
                      <w:lang w:eastAsia="hr-HR"/>
                    </w:rPr>
                    <w:t>valute računa</w:t>
                  </w:r>
                  <w:r w:rsidRPr="0035082C">
                    <w:rPr>
                      <w:rFonts w:ascii="Arial" w:eastAsia="Times New Roman" w:hAnsi="Arial" w:cs="Arial"/>
                      <w:sz w:val="18"/>
                      <w:szCs w:val="18"/>
                      <w:lang w:eastAsia="hr-HR"/>
                    </w:rPr>
                    <w:t xml:space="preserve"> </w:t>
                  </w:r>
                  <w:r w:rsidRPr="0035082C">
                    <w:rPr>
                      <w:rFonts w:ascii="Arial" w:eastAsia="Times New Roman" w:hAnsi="Arial" w:cs="Arial"/>
                      <w:color w:val="000000"/>
                      <w:sz w:val="18"/>
                      <w:szCs w:val="18"/>
                      <w:lang w:eastAsia="hr-HR"/>
                    </w:rPr>
                    <w:t>dobavljača</w:t>
                  </w:r>
                </w:p>
              </w:tc>
              <w:tc>
                <w:tcPr>
                  <w:tcW w:w="1435"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7"/>
                      <w:szCs w:val="17"/>
                      <w:lang w:eastAsia="hr-HR"/>
                    </w:rPr>
                  </w:pPr>
                  <w:r w:rsidRPr="0035082C">
                    <w:rPr>
                      <w:rFonts w:ascii="Arial" w:eastAsia="Times New Roman" w:hAnsi="Arial" w:cs="Arial"/>
                      <w:sz w:val="17"/>
                      <w:szCs w:val="17"/>
                      <w:lang w:eastAsia="hr-HR"/>
                    </w:rPr>
                    <w:t>Knjigovodstvo</w:t>
                  </w:r>
                </w:p>
              </w:tc>
              <w:tc>
                <w:tcPr>
                  <w:tcW w:w="1015" w:type="dxa"/>
                  <w:vAlign w:val="center"/>
                </w:tcPr>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Datum</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plaćanja</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računa manji</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je ili jednaki</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datumu</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valute računa</w:t>
                  </w:r>
                  <w:r w:rsidRPr="0035082C">
                    <w:rPr>
                      <w:rFonts w:ascii="Times New Roman" w:eastAsia="Times New Roman" w:hAnsi="Times New Roman" w:cs="Times New Roman"/>
                      <w:sz w:val="18"/>
                      <w:szCs w:val="18"/>
                      <w:lang w:eastAsia="hr-HR"/>
                    </w:rPr>
                    <w:t xml:space="preserve"> </w:t>
                  </w:r>
                  <w:r w:rsidRPr="0035082C">
                    <w:rPr>
                      <w:rFonts w:ascii="Times New Roman" w:eastAsia="Times New Roman" w:hAnsi="Times New Roman" w:cs="Times New Roman"/>
                      <w:color w:val="000000"/>
                      <w:sz w:val="18"/>
                      <w:szCs w:val="18"/>
                      <w:lang w:eastAsia="hr-HR"/>
                    </w:rPr>
                    <w:t>dobavljača</w:t>
                  </w:r>
                </w:p>
              </w:tc>
              <w:tc>
                <w:tcPr>
                  <w:tcW w:w="1283" w:type="dxa"/>
                  <w:shd w:val="clear" w:color="auto" w:fill="auto"/>
                  <w:vAlign w:val="center"/>
                </w:tcPr>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Datum</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plaćanja</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računa manji</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je ili jednaki</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datumu</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valute računa</w:t>
                  </w:r>
                  <w:r w:rsidRPr="0035082C">
                    <w:rPr>
                      <w:rFonts w:ascii="Times New Roman" w:eastAsia="Times New Roman" w:hAnsi="Times New Roman" w:cs="Times New Roman"/>
                      <w:sz w:val="18"/>
                      <w:szCs w:val="18"/>
                      <w:lang w:eastAsia="hr-HR"/>
                    </w:rPr>
                    <w:t xml:space="preserve"> </w:t>
                  </w:r>
                  <w:r w:rsidRPr="0035082C">
                    <w:rPr>
                      <w:rFonts w:ascii="Times New Roman" w:eastAsia="Times New Roman" w:hAnsi="Times New Roman" w:cs="Times New Roman"/>
                      <w:color w:val="000000"/>
                      <w:sz w:val="18"/>
                      <w:szCs w:val="18"/>
                      <w:lang w:eastAsia="hr-HR"/>
                    </w:rPr>
                    <w:t>dobavljača</w:t>
                  </w:r>
                </w:p>
              </w:tc>
              <w:tc>
                <w:tcPr>
                  <w:tcW w:w="1283" w:type="dxa"/>
                  <w:shd w:val="clear" w:color="auto" w:fill="auto"/>
                  <w:vAlign w:val="center"/>
                </w:tcPr>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Datum</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plaćanja</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računa manji</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je ili jednaki</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datumu</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valute računa</w:t>
                  </w:r>
                  <w:r w:rsidRPr="0035082C">
                    <w:rPr>
                      <w:rFonts w:ascii="Times New Roman" w:eastAsia="Times New Roman" w:hAnsi="Times New Roman" w:cs="Times New Roman"/>
                      <w:sz w:val="18"/>
                      <w:szCs w:val="18"/>
                      <w:lang w:eastAsia="hr-HR"/>
                    </w:rPr>
                    <w:t xml:space="preserve"> </w:t>
                  </w:r>
                  <w:r w:rsidRPr="0035082C">
                    <w:rPr>
                      <w:rFonts w:ascii="Times New Roman" w:eastAsia="Times New Roman" w:hAnsi="Times New Roman" w:cs="Times New Roman"/>
                      <w:color w:val="000000"/>
                      <w:sz w:val="18"/>
                      <w:szCs w:val="18"/>
                      <w:lang w:eastAsia="hr-HR"/>
                    </w:rPr>
                    <w:t>dobavljača</w:t>
                  </w:r>
                </w:p>
              </w:tc>
              <w:tc>
                <w:tcPr>
                  <w:tcW w:w="1283" w:type="dxa"/>
                  <w:shd w:val="clear" w:color="auto" w:fill="auto"/>
                  <w:vAlign w:val="center"/>
                </w:tcPr>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Datum</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plaćanja</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računa manji</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je ili jednaki</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datumu</w:t>
                  </w:r>
                </w:p>
                <w:p w:rsidR="0035082C" w:rsidRPr="0035082C" w:rsidRDefault="0035082C" w:rsidP="0035082C">
                  <w:pPr>
                    <w:spacing w:after="0" w:line="240" w:lineRule="auto"/>
                    <w:jc w:val="center"/>
                    <w:rPr>
                      <w:rFonts w:ascii="Times New Roman" w:eastAsia="Times New Roman" w:hAnsi="Times New Roman" w:cs="Times New Roman"/>
                      <w:sz w:val="18"/>
                      <w:szCs w:val="18"/>
                      <w:lang w:eastAsia="hr-HR"/>
                    </w:rPr>
                  </w:pPr>
                  <w:r w:rsidRPr="0035082C">
                    <w:rPr>
                      <w:rFonts w:ascii="Times New Roman" w:eastAsia="Times New Roman" w:hAnsi="Times New Roman" w:cs="Times New Roman"/>
                      <w:color w:val="000000"/>
                      <w:sz w:val="18"/>
                      <w:szCs w:val="18"/>
                      <w:lang w:eastAsia="hr-HR"/>
                    </w:rPr>
                    <w:t>valute račun dobavljača</w:t>
                  </w:r>
                </w:p>
              </w:tc>
            </w:tr>
            <w:tr w:rsidR="0035082C" w:rsidRPr="0035082C" w:rsidTr="0035082C">
              <w:trPr>
                <w:trHeight w:val="956"/>
              </w:trPr>
              <w:tc>
                <w:tcPr>
                  <w:tcW w:w="1485"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Nabava nefinancijske imovine</w:t>
                  </w:r>
                </w:p>
              </w:tc>
              <w:tc>
                <w:tcPr>
                  <w:tcW w:w="1485" w:type="dxa"/>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Popis prioriteta</w:t>
                  </w:r>
                </w:p>
              </w:tc>
              <w:tc>
                <w:tcPr>
                  <w:tcW w:w="1075" w:type="dxa"/>
                  <w:shd w:val="clear" w:color="auto" w:fill="auto"/>
                  <w:vAlign w:val="center"/>
                </w:tcPr>
                <w:p w:rsidR="0035082C" w:rsidRPr="0035082C" w:rsidRDefault="0035082C" w:rsidP="0035082C">
                  <w:pPr>
                    <w:spacing w:after="0" w:line="240" w:lineRule="auto"/>
                    <w:jc w:val="center"/>
                    <w:rPr>
                      <w:rFonts w:ascii="Arial" w:eastAsia="Times New Roman" w:hAnsi="Arial" w:cs="Arial"/>
                      <w:color w:val="000000"/>
                      <w:sz w:val="18"/>
                      <w:szCs w:val="18"/>
                      <w:lang w:eastAsia="hr-HR"/>
                    </w:rPr>
                  </w:pPr>
                  <w:r w:rsidRPr="0035082C">
                    <w:rPr>
                      <w:rFonts w:ascii="Arial" w:eastAsia="Times New Roman" w:hAnsi="Arial" w:cs="Arial"/>
                      <w:color w:val="000000"/>
                      <w:sz w:val="18"/>
                      <w:szCs w:val="18"/>
                      <w:lang w:eastAsia="hr-HR"/>
                    </w:rPr>
                    <w:t>Iskazana potreba u Popisu prioriteta</w:t>
                  </w:r>
                </w:p>
              </w:tc>
              <w:tc>
                <w:tcPr>
                  <w:tcW w:w="1435"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Inventura</w:t>
                  </w:r>
                </w:p>
              </w:tc>
              <w:tc>
                <w:tcPr>
                  <w:tcW w:w="1015" w:type="dxa"/>
                  <w:vAlign w:val="center"/>
                </w:tcPr>
                <w:p w:rsidR="0035082C" w:rsidRPr="0035082C" w:rsidRDefault="0035082C" w:rsidP="0035082C">
                  <w:pPr>
                    <w:spacing w:after="0" w:line="240" w:lineRule="auto"/>
                    <w:jc w:val="center"/>
                    <w:rPr>
                      <w:rFonts w:ascii="Times New Roman" w:eastAsia="Times New Roman" w:hAnsi="Times New Roman" w:cs="Times New Roman"/>
                      <w:color w:val="000000"/>
                      <w:sz w:val="18"/>
                      <w:szCs w:val="18"/>
                      <w:lang w:eastAsia="hr-HR"/>
                    </w:rPr>
                  </w:pPr>
                  <w:r w:rsidRPr="0035082C">
                    <w:rPr>
                      <w:rFonts w:ascii="Times New Roman" w:eastAsia="Times New Roman" w:hAnsi="Times New Roman" w:cs="Times New Roman"/>
                      <w:color w:val="000000"/>
                      <w:sz w:val="18"/>
                      <w:szCs w:val="18"/>
                      <w:lang w:eastAsia="hr-HR"/>
                    </w:rPr>
                    <w:t>Sva oprema</w:t>
                  </w:r>
                </w:p>
              </w:tc>
              <w:tc>
                <w:tcPr>
                  <w:tcW w:w="1283" w:type="dxa"/>
                  <w:shd w:val="clear" w:color="auto" w:fill="auto"/>
                  <w:vAlign w:val="center"/>
                </w:tcPr>
                <w:p w:rsidR="0035082C" w:rsidRPr="0035082C" w:rsidRDefault="0035082C" w:rsidP="0035082C">
                  <w:pPr>
                    <w:spacing w:after="0" w:line="240" w:lineRule="auto"/>
                    <w:jc w:val="center"/>
                    <w:rPr>
                      <w:rFonts w:ascii="Times New Roman" w:eastAsia="Times New Roman" w:hAnsi="Times New Roman" w:cs="Times New Roman"/>
                      <w:color w:val="000000"/>
                      <w:sz w:val="18"/>
                      <w:szCs w:val="18"/>
                      <w:lang w:eastAsia="hr-HR"/>
                    </w:rPr>
                  </w:pPr>
                  <w:r w:rsidRPr="0035082C">
                    <w:rPr>
                      <w:rFonts w:ascii="Times New Roman" w:eastAsia="Times New Roman" w:hAnsi="Times New Roman" w:cs="Times New Roman"/>
                      <w:color w:val="000000"/>
                      <w:sz w:val="18"/>
                      <w:szCs w:val="18"/>
                      <w:lang w:eastAsia="hr-HR"/>
                    </w:rPr>
                    <w:t>Sva oprema je u  funkciji</w:t>
                  </w:r>
                </w:p>
              </w:tc>
              <w:tc>
                <w:tcPr>
                  <w:tcW w:w="1283" w:type="dxa"/>
                  <w:shd w:val="clear" w:color="auto" w:fill="auto"/>
                  <w:vAlign w:val="center"/>
                </w:tcPr>
                <w:p w:rsidR="0035082C" w:rsidRPr="0035082C" w:rsidRDefault="0035082C" w:rsidP="0035082C">
                  <w:pPr>
                    <w:spacing w:after="0" w:line="240" w:lineRule="auto"/>
                    <w:jc w:val="center"/>
                    <w:rPr>
                      <w:rFonts w:ascii="Times New Roman" w:eastAsia="Times New Roman" w:hAnsi="Times New Roman" w:cs="Times New Roman"/>
                      <w:color w:val="000000"/>
                      <w:sz w:val="18"/>
                      <w:szCs w:val="18"/>
                      <w:lang w:eastAsia="hr-HR"/>
                    </w:rPr>
                  </w:pPr>
                  <w:r w:rsidRPr="0035082C">
                    <w:rPr>
                      <w:rFonts w:ascii="Times New Roman" w:eastAsia="Times New Roman" w:hAnsi="Times New Roman" w:cs="Times New Roman"/>
                      <w:color w:val="000000"/>
                      <w:sz w:val="18"/>
                      <w:szCs w:val="18"/>
                      <w:lang w:eastAsia="hr-HR"/>
                    </w:rPr>
                    <w:t>Sva oprema je u  funkciji</w:t>
                  </w:r>
                </w:p>
              </w:tc>
              <w:tc>
                <w:tcPr>
                  <w:tcW w:w="1283" w:type="dxa"/>
                  <w:shd w:val="clear" w:color="auto" w:fill="auto"/>
                  <w:vAlign w:val="center"/>
                </w:tcPr>
                <w:p w:rsidR="0035082C" w:rsidRPr="0035082C" w:rsidRDefault="0035082C" w:rsidP="0035082C">
                  <w:pPr>
                    <w:spacing w:after="0" w:line="240" w:lineRule="auto"/>
                    <w:jc w:val="center"/>
                    <w:rPr>
                      <w:rFonts w:ascii="Times New Roman" w:eastAsia="Times New Roman" w:hAnsi="Times New Roman" w:cs="Times New Roman"/>
                      <w:color w:val="000000"/>
                      <w:sz w:val="18"/>
                      <w:szCs w:val="18"/>
                      <w:lang w:eastAsia="hr-HR"/>
                    </w:rPr>
                  </w:pPr>
                  <w:r w:rsidRPr="0035082C">
                    <w:rPr>
                      <w:rFonts w:ascii="Times New Roman" w:eastAsia="Times New Roman" w:hAnsi="Times New Roman" w:cs="Times New Roman"/>
                      <w:color w:val="000000"/>
                      <w:sz w:val="18"/>
                      <w:szCs w:val="18"/>
                      <w:lang w:eastAsia="hr-HR"/>
                    </w:rPr>
                    <w:t>Sva oprema je u  funkciji</w:t>
                  </w:r>
                </w:p>
              </w:tc>
            </w:tr>
            <w:tr w:rsidR="0035082C" w:rsidRPr="0035082C" w:rsidTr="002E0F69">
              <w:trPr>
                <w:trHeight w:val="1779"/>
              </w:trPr>
              <w:tc>
                <w:tcPr>
                  <w:tcW w:w="1485"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Poboljšanje kvalitete rada stručnim usavršavanjem radnika</w:t>
                  </w:r>
                </w:p>
              </w:tc>
              <w:tc>
                <w:tcPr>
                  <w:tcW w:w="1485" w:type="dxa"/>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Times New Roman" w:eastAsia="Times New Roman" w:hAnsi="Times New Roman" w:cs="Times New Roman"/>
                      <w:color w:val="000000"/>
                      <w:sz w:val="18"/>
                      <w:szCs w:val="18"/>
                      <w:lang w:eastAsia="hr-HR"/>
                    </w:rPr>
                    <w:t>Sudjelovanjem radnika na stručnim usavršavanjima povećava se kvaliteta usluge koju ustanova pruža svojim korisnicima</w:t>
                  </w:r>
                </w:p>
              </w:tc>
              <w:tc>
                <w:tcPr>
                  <w:tcW w:w="1075" w:type="dxa"/>
                  <w:shd w:val="clear" w:color="auto" w:fill="auto"/>
                  <w:vAlign w:val="center"/>
                </w:tcPr>
                <w:p w:rsidR="0035082C" w:rsidRPr="0035082C" w:rsidRDefault="0035082C" w:rsidP="0035082C">
                  <w:pPr>
                    <w:spacing w:after="0" w:line="240" w:lineRule="auto"/>
                    <w:jc w:val="center"/>
                    <w:rPr>
                      <w:rFonts w:ascii="Arial" w:eastAsia="Times New Roman" w:hAnsi="Arial" w:cs="Arial"/>
                      <w:color w:val="000000"/>
                      <w:sz w:val="18"/>
                      <w:szCs w:val="18"/>
                      <w:lang w:eastAsia="hr-HR"/>
                    </w:rPr>
                  </w:pPr>
                  <w:r w:rsidRPr="0035082C">
                    <w:rPr>
                      <w:rFonts w:ascii="Arial" w:eastAsia="Times New Roman" w:hAnsi="Arial" w:cs="Arial"/>
                      <w:color w:val="000000"/>
                      <w:sz w:val="18"/>
                      <w:szCs w:val="18"/>
                      <w:lang w:eastAsia="hr-HR"/>
                    </w:rPr>
                    <w:t>Broj edukacija</w:t>
                  </w:r>
                </w:p>
              </w:tc>
              <w:tc>
                <w:tcPr>
                  <w:tcW w:w="1435" w:type="dxa"/>
                  <w:shd w:val="clear" w:color="auto" w:fill="auto"/>
                  <w:vAlign w:val="center"/>
                </w:tcPr>
                <w:p w:rsidR="0035082C" w:rsidRPr="0035082C" w:rsidRDefault="0035082C" w:rsidP="0035082C">
                  <w:pPr>
                    <w:spacing w:before="120" w:after="0" w:line="240" w:lineRule="auto"/>
                    <w:jc w:val="center"/>
                    <w:rPr>
                      <w:rFonts w:ascii="Arial" w:eastAsia="Times New Roman" w:hAnsi="Arial" w:cs="Arial"/>
                      <w:sz w:val="18"/>
                      <w:szCs w:val="18"/>
                      <w:lang w:eastAsia="hr-HR"/>
                    </w:rPr>
                  </w:pPr>
                  <w:r w:rsidRPr="0035082C">
                    <w:rPr>
                      <w:rFonts w:ascii="Arial" w:eastAsia="Times New Roman" w:hAnsi="Arial" w:cs="Arial"/>
                      <w:sz w:val="18"/>
                      <w:szCs w:val="18"/>
                      <w:lang w:eastAsia="hr-HR"/>
                    </w:rPr>
                    <w:t>Povećan broj radnika na stručnom usavršavanju</w:t>
                  </w:r>
                </w:p>
              </w:tc>
              <w:tc>
                <w:tcPr>
                  <w:tcW w:w="1015" w:type="dxa"/>
                  <w:vAlign w:val="center"/>
                </w:tcPr>
                <w:p w:rsidR="0035082C" w:rsidRPr="0035082C" w:rsidRDefault="0035082C" w:rsidP="0035082C">
                  <w:pPr>
                    <w:spacing w:after="0" w:line="240" w:lineRule="auto"/>
                    <w:jc w:val="center"/>
                    <w:rPr>
                      <w:rFonts w:ascii="Times New Roman" w:eastAsia="Times New Roman" w:hAnsi="Times New Roman" w:cs="Times New Roman"/>
                      <w:color w:val="000000"/>
                      <w:sz w:val="18"/>
                      <w:szCs w:val="18"/>
                      <w:lang w:eastAsia="hr-HR"/>
                    </w:rPr>
                  </w:pPr>
                  <w:r w:rsidRPr="0035082C">
                    <w:rPr>
                      <w:rFonts w:ascii="Times New Roman" w:eastAsia="Times New Roman" w:hAnsi="Times New Roman" w:cs="Times New Roman"/>
                      <w:color w:val="000000"/>
                      <w:sz w:val="18"/>
                      <w:szCs w:val="18"/>
                      <w:lang w:eastAsia="hr-HR"/>
                    </w:rPr>
                    <w:t>Dom</w:t>
                  </w:r>
                </w:p>
              </w:tc>
              <w:tc>
                <w:tcPr>
                  <w:tcW w:w="1283" w:type="dxa"/>
                  <w:shd w:val="clear" w:color="auto" w:fill="auto"/>
                  <w:vAlign w:val="center"/>
                </w:tcPr>
                <w:p w:rsidR="0035082C" w:rsidRPr="0035082C" w:rsidRDefault="0035082C" w:rsidP="0035082C">
                  <w:pPr>
                    <w:spacing w:after="0" w:line="240" w:lineRule="auto"/>
                    <w:jc w:val="center"/>
                    <w:rPr>
                      <w:rFonts w:ascii="Times New Roman" w:eastAsia="Times New Roman" w:hAnsi="Times New Roman" w:cs="Times New Roman"/>
                      <w:color w:val="000000"/>
                      <w:sz w:val="18"/>
                      <w:szCs w:val="18"/>
                      <w:lang w:eastAsia="hr-HR"/>
                    </w:rPr>
                  </w:pPr>
                  <w:r w:rsidRPr="0035082C">
                    <w:rPr>
                      <w:rFonts w:ascii="Times New Roman" w:eastAsia="Times New Roman" w:hAnsi="Times New Roman" w:cs="Times New Roman"/>
                      <w:color w:val="000000"/>
                      <w:sz w:val="18"/>
                      <w:szCs w:val="18"/>
                      <w:lang w:eastAsia="hr-HR"/>
                    </w:rPr>
                    <w:t>Većina radnika obuhvaćena stručnim usavršavanjem</w:t>
                  </w:r>
                </w:p>
              </w:tc>
              <w:tc>
                <w:tcPr>
                  <w:tcW w:w="1283" w:type="dxa"/>
                  <w:shd w:val="clear" w:color="auto" w:fill="auto"/>
                  <w:vAlign w:val="center"/>
                </w:tcPr>
                <w:p w:rsidR="0035082C" w:rsidRPr="0035082C" w:rsidRDefault="0035082C" w:rsidP="0035082C">
                  <w:pPr>
                    <w:spacing w:after="0" w:line="240" w:lineRule="auto"/>
                    <w:jc w:val="center"/>
                    <w:rPr>
                      <w:rFonts w:ascii="Times New Roman" w:eastAsia="Times New Roman" w:hAnsi="Times New Roman" w:cs="Times New Roman"/>
                      <w:color w:val="000000"/>
                      <w:sz w:val="18"/>
                      <w:szCs w:val="18"/>
                      <w:lang w:eastAsia="hr-HR"/>
                    </w:rPr>
                  </w:pPr>
                  <w:r w:rsidRPr="0035082C">
                    <w:rPr>
                      <w:rFonts w:ascii="Times New Roman" w:eastAsia="Times New Roman" w:hAnsi="Times New Roman" w:cs="Times New Roman"/>
                      <w:color w:val="000000"/>
                      <w:sz w:val="18"/>
                      <w:szCs w:val="18"/>
                      <w:lang w:eastAsia="hr-HR"/>
                    </w:rPr>
                    <w:t>Većina radnika obuhvaćena stručnim usavršavanjem</w:t>
                  </w:r>
                </w:p>
              </w:tc>
              <w:tc>
                <w:tcPr>
                  <w:tcW w:w="1283" w:type="dxa"/>
                  <w:shd w:val="clear" w:color="auto" w:fill="auto"/>
                  <w:vAlign w:val="center"/>
                </w:tcPr>
                <w:p w:rsidR="0035082C" w:rsidRPr="0035082C" w:rsidRDefault="0035082C" w:rsidP="0035082C">
                  <w:pPr>
                    <w:spacing w:after="0" w:line="240" w:lineRule="auto"/>
                    <w:jc w:val="center"/>
                    <w:rPr>
                      <w:rFonts w:ascii="Times New Roman" w:eastAsia="Times New Roman" w:hAnsi="Times New Roman" w:cs="Times New Roman"/>
                      <w:color w:val="000000"/>
                      <w:sz w:val="18"/>
                      <w:szCs w:val="18"/>
                      <w:lang w:eastAsia="hr-HR"/>
                    </w:rPr>
                  </w:pPr>
                  <w:r w:rsidRPr="0035082C">
                    <w:rPr>
                      <w:rFonts w:ascii="Times New Roman" w:eastAsia="Times New Roman" w:hAnsi="Times New Roman" w:cs="Times New Roman"/>
                      <w:color w:val="000000"/>
                      <w:sz w:val="18"/>
                      <w:szCs w:val="18"/>
                      <w:lang w:eastAsia="hr-HR"/>
                    </w:rPr>
                    <w:t>Većina radnika obuhvaćena stručnim usavršavanjem</w:t>
                  </w:r>
                </w:p>
              </w:tc>
            </w:tr>
          </w:tbl>
          <w:p w:rsidR="0035082C" w:rsidRPr="0035082C" w:rsidRDefault="0035082C" w:rsidP="0035082C">
            <w:pPr>
              <w:spacing w:before="120" w:after="0" w:line="240" w:lineRule="auto"/>
              <w:ind w:right="57"/>
              <w:jc w:val="both"/>
              <w:rPr>
                <w:rFonts w:ascii="Arial" w:eastAsia="Times New Roman" w:hAnsi="Arial" w:cs="Arial"/>
                <w:color w:val="000000"/>
                <w:sz w:val="18"/>
                <w:szCs w:val="18"/>
                <w:lang w:eastAsia="hr-HR"/>
              </w:rPr>
            </w:pPr>
          </w:p>
        </w:tc>
      </w:tr>
    </w:tbl>
    <w:p w:rsidR="00531413" w:rsidRDefault="00531413" w:rsidP="008C16E3">
      <w:pPr>
        <w:spacing w:after="0"/>
        <w:jc w:val="both"/>
        <w:rPr>
          <w:rFonts w:ascii="Times New Roman" w:hAnsi="Times New Roman" w:cs="Times New Roman"/>
          <w:sz w:val="24"/>
          <w:szCs w:val="24"/>
        </w:rPr>
      </w:pPr>
    </w:p>
    <w:p w:rsidR="00E35876" w:rsidRPr="00841298" w:rsidRDefault="00E04AB9" w:rsidP="0035082C">
      <w:pPr>
        <w:spacing w:after="120"/>
        <w:jc w:val="both"/>
        <w:rPr>
          <w:rFonts w:ascii="Times New Roman" w:hAnsi="Times New Roman" w:cs="Times New Roman"/>
          <w:sz w:val="24"/>
          <w:szCs w:val="24"/>
        </w:rPr>
      </w:pPr>
      <w:r w:rsidRPr="0071677B">
        <w:rPr>
          <w:rFonts w:ascii="Times New Roman" w:hAnsi="Times New Roman" w:cs="Times New Roman"/>
          <w:sz w:val="24"/>
          <w:szCs w:val="24"/>
        </w:rPr>
        <w:t xml:space="preserve">URBROJ: </w:t>
      </w:r>
      <w:r w:rsidR="00841298" w:rsidRPr="00841298">
        <w:rPr>
          <w:rFonts w:ascii="Times New Roman" w:hAnsi="Times New Roman" w:cs="Times New Roman"/>
          <w:sz w:val="24"/>
          <w:szCs w:val="24"/>
        </w:rPr>
        <w:t>2186-1-25/01-24</w:t>
      </w:r>
      <w:r w:rsidR="009D51D2" w:rsidRPr="00841298">
        <w:rPr>
          <w:rFonts w:ascii="Times New Roman" w:hAnsi="Times New Roman" w:cs="Times New Roman"/>
          <w:sz w:val="24"/>
          <w:szCs w:val="24"/>
        </w:rPr>
        <w:t>/</w:t>
      </w:r>
      <w:r w:rsidR="00C172F9">
        <w:rPr>
          <w:rFonts w:ascii="Times New Roman" w:hAnsi="Times New Roman" w:cs="Times New Roman"/>
          <w:sz w:val="24"/>
          <w:szCs w:val="24"/>
        </w:rPr>
        <w:t>57-24</w:t>
      </w:r>
      <w:r w:rsidR="00531413" w:rsidRPr="00841298">
        <w:rPr>
          <w:rFonts w:ascii="Times New Roman" w:hAnsi="Times New Roman" w:cs="Times New Roman"/>
          <w:sz w:val="24"/>
          <w:szCs w:val="24"/>
        </w:rPr>
        <w:t>-1</w:t>
      </w:r>
    </w:p>
    <w:p w:rsidR="00E35876" w:rsidRPr="00E35876" w:rsidRDefault="00C172F9" w:rsidP="0035082C">
      <w:pPr>
        <w:spacing w:after="120"/>
        <w:jc w:val="both"/>
        <w:rPr>
          <w:rFonts w:ascii="Times New Roman" w:hAnsi="Times New Roman" w:cs="Times New Roman"/>
          <w:sz w:val="24"/>
          <w:szCs w:val="24"/>
        </w:rPr>
      </w:pPr>
      <w:r>
        <w:rPr>
          <w:rFonts w:ascii="Times New Roman" w:hAnsi="Times New Roman" w:cs="Times New Roman"/>
          <w:sz w:val="24"/>
          <w:szCs w:val="24"/>
        </w:rPr>
        <w:t>U Varaždinu, 30.08</w:t>
      </w:r>
      <w:r w:rsidR="00B81C05">
        <w:rPr>
          <w:rFonts w:ascii="Times New Roman" w:hAnsi="Times New Roman" w:cs="Times New Roman"/>
          <w:sz w:val="24"/>
          <w:szCs w:val="24"/>
        </w:rPr>
        <w:t>.2024</w:t>
      </w:r>
      <w:r w:rsidR="009D51D2" w:rsidRPr="0071677B">
        <w:rPr>
          <w:rFonts w:ascii="Times New Roman" w:hAnsi="Times New Roman" w:cs="Times New Roman"/>
          <w:sz w:val="24"/>
          <w:szCs w:val="24"/>
        </w:rPr>
        <w:t>.</w:t>
      </w:r>
    </w:p>
    <w:p w:rsidR="00E35876" w:rsidRPr="00E35876" w:rsidRDefault="00E35876" w:rsidP="00E35876">
      <w:pPr>
        <w:spacing w:after="180" w:line="240" w:lineRule="auto"/>
        <w:ind w:left="4956" w:firstLine="708"/>
        <w:jc w:val="both"/>
        <w:rPr>
          <w:rFonts w:ascii="Times New Roman" w:eastAsia="Times New Roman" w:hAnsi="Times New Roman" w:cs="Times New Roman"/>
          <w:sz w:val="24"/>
          <w:szCs w:val="24"/>
          <w:lang w:eastAsia="hr-HR"/>
        </w:rPr>
      </w:pPr>
      <w:r w:rsidRPr="00E35876">
        <w:rPr>
          <w:rFonts w:ascii="Times New Roman" w:eastAsia="Times New Roman" w:hAnsi="Times New Roman" w:cs="Times New Roman"/>
          <w:sz w:val="24"/>
          <w:szCs w:val="24"/>
          <w:lang w:eastAsia="hr-HR"/>
        </w:rPr>
        <w:t>Predsjednica Upravnog vijeća:</w:t>
      </w:r>
    </w:p>
    <w:p w:rsidR="00E35876" w:rsidRPr="008C16E3" w:rsidRDefault="00E35876" w:rsidP="008C16E3">
      <w:pPr>
        <w:spacing w:after="0" w:line="240" w:lineRule="auto"/>
        <w:jc w:val="both"/>
        <w:rPr>
          <w:rFonts w:ascii="Times New Roman" w:eastAsia="Times New Roman" w:hAnsi="Times New Roman" w:cs="Times New Roman"/>
          <w:sz w:val="24"/>
          <w:szCs w:val="24"/>
          <w:lang w:eastAsia="hr-HR"/>
        </w:rPr>
      </w:pPr>
      <w:r w:rsidRPr="00E35876">
        <w:rPr>
          <w:rFonts w:ascii="Times New Roman" w:eastAsia="Times New Roman" w:hAnsi="Times New Roman" w:cs="Times New Roman"/>
          <w:sz w:val="24"/>
          <w:szCs w:val="24"/>
          <w:lang w:eastAsia="hr-HR"/>
        </w:rPr>
        <w:tab/>
      </w:r>
      <w:r w:rsidRPr="00E35876">
        <w:rPr>
          <w:rFonts w:ascii="Times New Roman" w:eastAsia="Times New Roman" w:hAnsi="Times New Roman" w:cs="Times New Roman"/>
          <w:sz w:val="24"/>
          <w:szCs w:val="24"/>
          <w:lang w:eastAsia="hr-HR"/>
        </w:rPr>
        <w:tab/>
      </w:r>
      <w:r w:rsidRPr="00E35876">
        <w:rPr>
          <w:rFonts w:ascii="Times New Roman" w:eastAsia="Times New Roman" w:hAnsi="Times New Roman" w:cs="Times New Roman"/>
          <w:sz w:val="24"/>
          <w:szCs w:val="24"/>
          <w:lang w:eastAsia="hr-HR"/>
        </w:rPr>
        <w:tab/>
      </w:r>
      <w:r w:rsidRPr="00E35876">
        <w:rPr>
          <w:rFonts w:ascii="Times New Roman" w:eastAsia="Times New Roman" w:hAnsi="Times New Roman" w:cs="Times New Roman"/>
          <w:sz w:val="24"/>
          <w:szCs w:val="24"/>
          <w:lang w:eastAsia="hr-HR"/>
        </w:rPr>
        <w:tab/>
      </w:r>
      <w:r w:rsidRPr="00E35876">
        <w:rPr>
          <w:rFonts w:ascii="Times New Roman" w:eastAsia="Times New Roman" w:hAnsi="Times New Roman" w:cs="Times New Roman"/>
          <w:sz w:val="24"/>
          <w:szCs w:val="24"/>
          <w:lang w:eastAsia="hr-HR"/>
        </w:rPr>
        <w:tab/>
      </w:r>
      <w:r w:rsidRPr="00E35876">
        <w:rPr>
          <w:rFonts w:ascii="Times New Roman" w:eastAsia="Times New Roman" w:hAnsi="Times New Roman" w:cs="Times New Roman"/>
          <w:sz w:val="24"/>
          <w:szCs w:val="24"/>
          <w:lang w:eastAsia="hr-HR"/>
        </w:rPr>
        <w:tab/>
      </w:r>
      <w:r w:rsidR="00B81C05">
        <w:rPr>
          <w:rFonts w:ascii="Times New Roman" w:eastAsia="Times New Roman" w:hAnsi="Times New Roman" w:cs="Times New Roman"/>
          <w:sz w:val="24"/>
          <w:szCs w:val="24"/>
          <w:lang w:eastAsia="hr-HR"/>
        </w:rPr>
        <w:tab/>
        <w:t xml:space="preserve">                     Anica Sitar, prof.</w:t>
      </w:r>
    </w:p>
    <w:sectPr w:rsidR="00E35876" w:rsidRPr="008C16E3" w:rsidSect="002E0F69">
      <w:pgSz w:w="11906" w:h="16838" w:code="9"/>
      <w:pgMar w:top="1276" w:right="155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4DAE"/>
    <w:multiLevelType w:val="hybridMultilevel"/>
    <w:tmpl w:val="E4BA5D34"/>
    <w:lvl w:ilvl="0" w:tplc="E67CA2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6D4361"/>
    <w:multiLevelType w:val="hybridMultilevel"/>
    <w:tmpl w:val="976EC33A"/>
    <w:lvl w:ilvl="0" w:tplc="952AE77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F107A15"/>
    <w:multiLevelType w:val="hybridMultilevel"/>
    <w:tmpl w:val="6B70009A"/>
    <w:lvl w:ilvl="0" w:tplc="39AC041E">
      <w:start w:val="1"/>
      <w:numFmt w:val="upperRoman"/>
      <w:lvlText w:val="%1."/>
      <w:lvlJc w:val="left"/>
      <w:pPr>
        <w:ind w:left="1004" w:hanging="72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nsid w:val="0F456CE8"/>
    <w:multiLevelType w:val="hybridMultilevel"/>
    <w:tmpl w:val="EE54D60E"/>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0E0C78"/>
    <w:multiLevelType w:val="hybridMultilevel"/>
    <w:tmpl w:val="F50449A4"/>
    <w:lvl w:ilvl="0" w:tplc="ABE88C5C">
      <w:numFmt w:val="bullet"/>
      <w:lvlText w:val="•"/>
      <w:lvlJc w:val="left"/>
      <w:pPr>
        <w:ind w:left="1146" w:hanging="360"/>
      </w:pPr>
      <w:rPr>
        <w:rFonts w:ascii="Arial" w:eastAsia="Times New Roman" w:hAnsi="Arial" w:cs="Arial" w:hint="default"/>
        <w:color w:val="00000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nsid w:val="1898409D"/>
    <w:multiLevelType w:val="hybridMultilevel"/>
    <w:tmpl w:val="1D406528"/>
    <w:lvl w:ilvl="0" w:tplc="ACB8C3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A321565"/>
    <w:multiLevelType w:val="hybridMultilevel"/>
    <w:tmpl w:val="366899DC"/>
    <w:lvl w:ilvl="0" w:tplc="40E620D8">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
    <w:nsid w:val="1A574340"/>
    <w:multiLevelType w:val="hybridMultilevel"/>
    <w:tmpl w:val="539C05BA"/>
    <w:lvl w:ilvl="0" w:tplc="ABE88C5C">
      <w:numFmt w:val="bullet"/>
      <w:lvlText w:val="•"/>
      <w:lvlJc w:val="left"/>
      <w:pPr>
        <w:ind w:left="1146" w:hanging="360"/>
      </w:pPr>
      <w:rPr>
        <w:rFonts w:ascii="Arial" w:eastAsia="Times New Roman" w:hAnsi="Arial" w:cs="Arial" w:hint="default"/>
        <w:color w:val="00000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
    <w:nsid w:val="21DB188B"/>
    <w:multiLevelType w:val="hybridMultilevel"/>
    <w:tmpl w:val="806C289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4EE0133"/>
    <w:multiLevelType w:val="hybridMultilevel"/>
    <w:tmpl w:val="6040F02A"/>
    <w:lvl w:ilvl="0" w:tplc="ABE88C5C">
      <w:numFmt w:val="bullet"/>
      <w:lvlText w:val="•"/>
      <w:lvlJc w:val="left"/>
      <w:pPr>
        <w:ind w:left="1146" w:hanging="360"/>
      </w:pPr>
      <w:rPr>
        <w:rFonts w:ascii="Arial" w:eastAsia="Times New Roman" w:hAnsi="Arial" w:cs="Arial" w:hint="default"/>
        <w:color w:val="00000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0">
    <w:nsid w:val="25766880"/>
    <w:multiLevelType w:val="hybridMultilevel"/>
    <w:tmpl w:val="DF4E4B96"/>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1FE1F71"/>
    <w:multiLevelType w:val="hybridMultilevel"/>
    <w:tmpl w:val="6F64BE56"/>
    <w:lvl w:ilvl="0" w:tplc="A4E8C4B8">
      <w:start w:val="1"/>
      <w:numFmt w:val="decimal"/>
      <w:lvlText w:val="%1."/>
      <w:lvlJc w:val="left"/>
      <w:pPr>
        <w:ind w:left="720" w:hanging="360"/>
      </w:pPr>
      <w:rPr>
        <w:rFonts w:hint="default"/>
        <w:i/>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B68570F"/>
    <w:multiLevelType w:val="hybridMultilevel"/>
    <w:tmpl w:val="899EDAA8"/>
    <w:lvl w:ilvl="0" w:tplc="52BEA9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1EE79FA"/>
    <w:multiLevelType w:val="hybridMultilevel"/>
    <w:tmpl w:val="DEB8F73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2B155A2"/>
    <w:multiLevelType w:val="hybridMultilevel"/>
    <w:tmpl w:val="DE38A228"/>
    <w:lvl w:ilvl="0" w:tplc="ABE88C5C">
      <w:numFmt w:val="bullet"/>
      <w:lvlText w:val="•"/>
      <w:lvlJc w:val="left"/>
      <w:pPr>
        <w:ind w:left="1145" w:hanging="360"/>
      </w:pPr>
      <w:rPr>
        <w:rFonts w:ascii="Arial" w:eastAsia="Times New Roman" w:hAnsi="Arial" w:cs="Arial" w:hint="default"/>
        <w:color w:val="000000"/>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15">
    <w:nsid w:val="43EA2EC9"/>
    <w:multiLevelType w:val="hybridMultilevel"/>
    <w:tmpl w:val="24C041F0"/>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53A10E4"/>
    <w:multiLevelType w:val="hybridMultilevel"/>
    <w:tmpl w:val="95C2C9D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8117B2A"/>
    <w:multiLevelType w:val="hybridMultilevel"/>
    <w:tmpl w:val="ACC48076"/>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EC90F6B"/>
    <w:multiLevelType w:val="hybridMultilevel"/>
    <w:tmpl w:val="FA7AAF36"/>
    <w:lvl w:ilvl="0" w:tplc="FECEB0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418364F"/>
    <w:multiLevelType w:val="hybridMultilevel"/>
    <w:tmpl w:val="AC862B10"/>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A5D4660"/>
    <w:multiLevelType w:val="hybridMultilevel"/>
    <w:tmpl w:val="AC862B10"/>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C374C16"/>
    <w:multiLevelType w:val="hybridMultilevel"/>
    <w:tmpl w:val="4222979E"/>
    <w:lvl w:ilvl="0" w:tplc="ABE88C5C">
      <w:numFmt w:val="bullet"/>
      <w:lvlText w:val="•"/>
      <w:lvlJc w:val="left"/>
      <w:pPr>
        <w:ind w:left="1004" w:hanging="360"/>
      </w:pPr>
      <w:rPr>
        <w:rFonts w:ascii="Arial" w:eastAsia="Times New Roman" w:hAnsi="Arial" w:cs="Arial" w:hint="default"/>
        <w:color w:val="000000"/>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2">
    <w:nsid w:val="6EDE7CDE"/>
    <w:multiLevelType w:val="hybridMultilevel"/>
    <w:tmpl w:val="11A2B3D4"/>
    <w:lvl w:ilvl="0" w:tplc="81C60888">
      <w:start w:val="1"/>
      <w:numFmt w:val="upperRoman"/>
      <w:lvlText w:val="%1."/>
      <w:lvlJc w:val="left"/>
      <w:pPr>
        <w:ind w:left="3128" w:hanging="720"/>
      </w:pPr>
      <w:rPr>
        <w:rFonts w:hint="default"/>
        <w:color w:val="auto"/>
      </w:rPr>
    </w:lvl>
    <w:lvl w:ilvl="1" w:tplc="041A0019" w:tentative="1">
      <w:start w:val="1"/>
      <w:numFmt w:val="lowerLetter"/>
      <w:lvlText w:val="%2."/>
      <w:lvlJc w:val="left"/>
      <w:pPr>
        <w:ind w:left="3488" w:hanging="360"/>
      </w:pPr>
    </w:lvl>
    <w:lvl w:ilvl="2" w:tplc="041A001B" w:tentative="1">
      <w:start w:val="1"/>
      <w:numFmt w:val="lowerRoman"/>
      <w:lvlText w:val="%3."/>
      <w:lvlJc w:val="right"/>
      <w:pPr>
        <w:ind w:left="4208" w:hanging="180"/>
      </w:pPr>
    </w:lvl>
    <w:lvl w:ilvl="3" w:tplc="041A000F" w:tentative="1">
      <w:start w:val="1"/>
      <w:numFmt w:val="decimal"/>
      <w:lvlText w:val="%4."/>
      <w:lvlJc w:val="left"/>
      <w:pPr>
        <w:ind w:left="4928" w:hanging="360"/>
      </w:pPr>
    </w:lvl>
    <w:lvl w:ilvl="4" w:tplc="041A0019" w:tentative="1">
      <w:start w:val="1"/>
      <w:numFmt w:val="lowerLetter"/>
      <w:lvlText w:val="%5."/>
      <w:lvlJc w:val="left"/>
      <w:pPr>
        <w:ind w:left="5648" w:hanging="360"/>
      </w:pPr>
    </w:lvl>
    <w:lvl w:ilvl="5" w:tplc="041A001B" w:tentative="1">
      <w:start w:val="1"/>
      <w:numFmt w:val="lowerRoman"/>
      <w:lvlText w:val="%6."/>
      <w:lvlJc w:val="right"/>
      <w:pPr>
        <w:ind w:left="6368" w:hanging="180"/>
      </w:pPr>
    </w:lvl>
    <w:lvl w:ilvl="6" w:tplc="041A000F" w:tentative="1">
      <w:start w:val="1"/>
      <w:numFmt w:val="decimal"/>
      <w:lvlText w:val="%7."/>
      <w:lvlJc w:val="left"/>
      <w:pPr>
        <w:ind w:left="7088" w:hanging="360"/>
      </w:pPr>
    </w:lvl>
    <w:lvl w:ilvl="7" w:tplc="041A0019" w:tentative="1">
      <w:start w:val="1"/>
      <w:numFmt w:val="lowerLetter"/>
      <w:lvlText w:val="%8."/>
      <w:lvlJc w:val="left"/>
      <w:pPr>
        <w:ind w:left="7808" w:hanging="360"/>
      </w:pPr>
    </w:lvl>
    <w:lvl w:ilvl="8" w:tplc="041A001B" w:tentative="1">
      <w:start w:val="1"/>
      <w:numFmt w:val="lowerRoman"/>
      <w:lvlText w:val="%9."/>
      <w:lvlJc w:val="right"/>
      <w:pPr>
        <w:ind w:left="8528" w:hanging="180"/>
      </w:pPr>
    </w:lvl>
  </w:abstractNum>
  <w:abstractNum w:abstractNumId="23">
    <w:nsid w:val="73543248"/>
    <w:multiLevelType w:val="hybridMultilevel"/>
    <w:tmpl w:val="EBDCD490"/>
    <w:lvl w:ilvl="0" w:tplc="3604BB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9DA6CF1"/>
    <w:multiLevelType w:val="hybridMultilevel"/>
    <w:tmpl w:val="A3381E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D5E62B3"/>
    <w:multiLevelType w:val="hybridMultilevel"/>
    <w:tmpl w:val="C48E202C"/>
    <w:lvl w:ilvl="0" w:tplc="A4E8C4B8">
      <w:start w:val="1"/>
      <w:numFmt w:val="decimal"/>
      <w:lvlText w:val="%1."/>
      <w:lvlJc w:val="left"/>
      <w:pPr>
        <w:ind w:left="720" w:hanging="360"/>
      </w:pPr>
      <w:rPr>
        <w:rFonts w:hint="default"/>
        <w:i/>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20"/>
  </w:num>
  <w:num w:numId="3">
    <w:abstractNumId w:val="12"/>
  </w:num>
  <w:num w:numId="4">
    <w:abstractNumId w:val="6"/>
  </w:num>
  <w:num w:numId="5">
    <w:abstractNumId w:val="21"/>
  </w:num>
  <w:num w:numId="6">
    <w:abstractNumId w:val="4"/>
  </w:num>
  <w:num w:numId="7">
    <w:abstractNumId w:val="7"/>
  </w:num>
  <w:num w:numId="8">
    <w:abstractNumId w:val="9"/>
  </w:num>
  <w:num w:numId="9">
    <w:abstractNumId w:val="14"/>
  </w:num>
  <w:num w:numId="10">
    <w:abstractNumId w:val="18"/>
  </w:num>
  <w:num w:numId="11">
    <w:abstractNumId w:val="19"/>
  </w:num>
  <w:num w:numId="12">
    <w:abstractNumId w:val="17"/>
  </w:num>
  <w:num w:numId="13">
    <w:abstractNumId w:val="10"/>
  </w:num>
  <w:num w:numId="14">
    <w:abstractNumId w:val="3"/>
  </w:num>
  <w:num w:numId="15">
    <w:abstractNumId w:val="22"/>
  </w:num>
  <w:num w:numId="16">
    <w:abstractNumId w:val="25"/>
  </w:num>
  <w:num w:numId="17">
    <w:abstractNumId w:val="11"/>
  </w:num>
  <w:num w:numId="18">
    <w:abstractNumId w:val="15"/>
  </w:num>
  <w:num w:numId="19">
    <w:abstractNumId w:val="16"/>
  </w:num>
  <w:num w:numId="20">
    <w:abstractNumId w:val="8"/>
  </w:num>
  <w:num w:numId="21">
    <w:abstractNumId w:val="13"/>
  </w:num>
  <w:num w:numId="22">
    <w:abstractNumId w:val="5"/>
  </w:num>
  <w:num w:numId="23">
    <w:abstractNumId w:val="23"/>
  </w:num>
  <w:num w:numId="24">
    <w:abstractNumId w:val="0"/>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92"/>
    <w:rsid w:val="00000113"/>
    <w:rsid w:val="000248C2"/>
    <w:rsid w:val="00034333"/>
    <w:rsid w:val="00036AF2"/>
    <w:rsid w:val="00037E1A"/>
    <w:rsid w:val="0005109A"/>
    <w:rsid w:val="000565D3"/>
    <w:rsid w:val="00056618"/>
    <w:rsid w:val="0006599D"/>
    <w:rsid w:val="00073766"/>
    <w:rsid w:val="00085061"/>
    <w:rsid w:val="00085AC0"/>
    <w:rsid w:val="0009393F"/>
    <w:rsid w:val="000A5D0E"/>
    <w:rsid w:val="000A7C75"/>
    <w:rsid w:val="000B2384"/>
    <w:rsid w:val="000C73B3"/>
    <w:rsid w:val="000D128E"/>
    <w:rsid w:val="000D76BE"/>
    <w:rsid w:val="000E568E"/>
    <w:rsid w:val="000F18E3"/>
    <w:rsid w:val="00107458"/>
    <w:rsid w:val="00111B1E"/>
    <w:rsid w:val="00116F29"/>
    <w:rsid w:val="001171BA"/>
    <w:rsid w:val="00117AE2"/>
    <w:rsid w:val="00123AD0"/>
    <w:rsid w:val="00125A95"/>
    <w:rsid w:val="001279EC"/>
    <w:rsid w:val="0013060C"/>
    <w:rsid w:val="001406FE"/>
    <w:rsid w:val="00147AF6"/>
    <w:rsid w:val="00154A67"/>
    <w:rsid w:val="00160BFA"/>
    <w:rsid w:val="00164003"/>
    <w:rsid w:val="0016686A"/>
    <w:rsid w:val="00172AAD"/>
    <w:rsid w:val="001763B9"/>
    <w:rsid w:val="001872D2"/>
    <w:rsid w:val="00187EFC"/>
    <w:rsid w:val="00194BB5"/>
    <w:rsid w:val="00194E56"/>
    <w:rsid w:val="00195BD3"/>
    <w:rsid w:val="001A6986"/>
    <w:rsid w:val="001C3DC5"/>
    <w:rsid w:val="001C5B5C"/>
    <w:rsid w:val="001D0D63"/>
    <w:rsid w:val="001E3448"/>
    <w:rsid w:val="001E40B5"/>
    <w:rsid w:val="001F2E92"/>
    <w:rsid w:val="001F41F1"/>
    <w:rsid w:val="001F5928"/>
    <w:rsid w:val="00204AA9"/>
    <w:rsid w:val="00220345"/>
    <w:rsid w:val="00223DEE"/>
    <w:rsid w:val="00226BA1"/>
    <w:rsid w:val="0023437A"/>
    <w:rsid w:val="00236A28"/>
    <w:rsid w:val="002427C7"/>
    <w:rsid w:val="00250AF2"/>
    <w:rsid w:val="00250C44"/>
    <w:rsid w:val="0029083A"/>
    <w:rsid w:val="00297E7A"/>
    <w:rsid w:val="002A353B"/>
    <w:rsid w:val="002A430E"/>
    <w:rsid w:val="002A7F66"/>
    <w:rsid w:val="002B6F1E"/>
    <w:rsid w:val="002E0F69"/>
    <w:rsid w:val="002E1C0B"/>
    <w:rsid w:val="002E7440"/>
    <w:rsid w:val="002F07DB"/>
    <w:rsid w:val="002F32B1"/>
    <w:rsid w:val="002F5BFC"/>
    <w:rsid w:val="0030409C"/>
    <w:rsid w:val="00326163"/>
    <w:rsid w:val="00326236"/>
    <w:rsid w:val="00341B1A"/>
    <w:rsid w:val="00342C85"/>
    <w:rsid w:val="0035082C"/>
    <w:rsid w:val="00353C36"/>
    <w:rsid w:val="00354462"/>
    <w:rsid w:val="00354E89"/>
    <w:rsid w:val="00355F81"/>
    <w:rsid w:val="00367345"/>
    <w:rsid w:val="00367E7E"/>
    <w:rsid w:val="00372A1E"/>
    <w:rsid w:val="0038260A"/>
    <w:rsid w:val="0038341D"/>
    <w:rsid w:val="003934D9"/>
    <w:rsid w:val="003A3CC7"/>
    <w:rsid w:val="003C24DA"/>
    <w:rsid w:val="003C37FB"/>
    <w:rsid w:val="003D532F"/>
    <w:rsid w:val="003D6C3C"/>
    <w:rsid w:val="003F1538"/>
    <w:rsid w:val="003F3A86"/>
    <w:rsid w:val="003F7DBE"/>
    <w:rsid w:val="00426CF5"/>
    <w:rsid w:val="00427499"/>
    <w:rsid w:val="0044282C"/>
    <w:rsid w:val="004463EB"/>
    <w:rsid w:val="0045649C"/>
    <w:rsid w:val="004650F9"/>
    <w:rsid w:val="00482B3E"/>
    <w:rsid w:val="00486675"/>
    <w:rsid w:val="00486C30"/>
    <w:rsid w:val="0049633E"/>
    <w:rsid w:val="004A2822"/>
    <w:rsid w:val="004A2D85"/>
    <w:rsid w:val="004A4B2A"/>
    <w:rsid w:val="004A4B85"/>
    <w:rsid w:val="004C44CD"/>
    <w:rsid w:val="004D23D0"/>
    <w:rsid w:val="004D31DB"/>
    <w:rsid w:val="004F102D"/>
    <w:rsid w:val="004F7556"/>
    <w:rsid w:val="00506E4B"/>
    <w:rsid w:val="0050773B"/>
    <w:rsid w:val="00514276"/>
    <w:rsid w:val="00524FEB"/>
    <w:rsid w:val="00531413"/>
    <w:rsid w:val="00553475"/>
    <w:rsid w:val="00555592"/>
    <w:rsid w:val="00564F11"/>
    <w:rsid w:val="00575143"/>
    <w:rsid w:val="00580EF7"/>
    <w:rsid w:val="00595BA4"/>
    <w:rsid w:val="0059693F"/>
    <w:rsid w:val="00597A3E"/>
    <w:rsid w:val="005A6225"/>
    <w:rsid w:val="005A7223"/>
    <w:rsid w:val="005A7D96"/>
    <w:rsid w:val="005B3C48"/>
    <w:rsid w:val="005D50C3"/>
    <w:rsid w:val="005D77E2"/>
    <w:rsid w:val="005E3D5F"/>
    <w:rsid w:val="005E7787"/>
    <w:rsid w:val="005F0418"/>
    <w:rsid w:val="005F38FB"/>
    <w:rsid w:val="00604B8C"/>
    <w:rsid w:val="00613ECF"/>
    <w:rsid w:val="006175CA"/>
    <w:rsid w:val="00630371"/>
    <w:rsid w:val="00633F07"/>
    <w:rsid w:val="00641476"/>
    <w:rsid w:val="00643DCE"/>
    <w:rsid w:val="006455E6"/>
    <w:rsid w:val="00647918"/>
    <w:rsid w:val="0065062B"/>
    <w:rsid w:val="00665356"/>
    <w:rsid w:val="00672E25"/>
    <w:rsid w:val="006753D2"/>
    <w:rsid w:val="00677A39"/>
    <w:rsid w:val="00691E32"/>
    <w:rsid w:val="006A267F"/>
    <w:rsid w:val="006C68AD"/>
    <w:rsid w:val="006C77BB"/>
    <w:rsid w:val="006D2D3E"/>
    <w:rsid w:val="006E2876"/>
    <w:rsid w:val="006E2D5D"/>
    <w:rsid w:val="006E50A6"/>
    <w:rsid w:val="006F0127"/>
    <w:rsid w:val="006F212A"/>
    <w:rsid w:val="006F6BAE"/>
    <w:rsid w:val="0070202A"/>
    <w:rsid w:val="00714DA4"/>
    <w:rsid w:val="0071677B"/>
    <w:rsid w:val="00720FB4"/>
    <w:rsid w:val="00733A5C"/>
    <w:rsid w:val="00734C97"/>
    <w:rsid w:val="00737E2F"/>
    <w:rsid w:val="00740BCC"/>
    <w:rsid w:val="0074125F"/>
    <w:rsid w:val="007416F9"/>
    <w:rsid w:val="00752461"/>
    <w:rsid w:val="00757F21"/>
    <w:rsid w:val="00766FF1"/>
    <w:rsid w:val="00782886"/>
    <w:rsid w:val="00782E75"/>
    <w:rsid w:val="00791DDD"/>
    <w:rsid w:val="00795686"/>
    <w:rsid w:val="007A02EB"/>
    <w:rsid w:val="007A32AF"/>
    <w:rsid w:val="007A36AF"/>
    <w:rsid w:val="007D1091"/>
    <w:rsid w:val="007D10E9"/>
    <w:rsid w:val="007D4BED"/>
    <w:rsid w:val="007D6DB8"/>
    <w:rsid w:val="007D6E2E"/>
    <w:rsid w:val="007E2700"/>
    <w:rsid w:val="007F54A4"/>
    <w:rsid w:val="007F7347"/>
    <w:rsid w:val="00800896"/>
    <w:rsid w:val="00827599"/>
    <w:rsid w:val="0082775A"/>
    <w:rsid w:val="00841298"/>
    <w:rsid w:val="0084251A"/>
    <w:rsid w:val="00863076"/>
    <w:rsid w:val="00872D92"/>
    <w:rsid w:val="00884E92"/>
    <w:rsid w:val="00893F05"/>
    <w:rsid w:val="008A78E4"/>
    <w:rsid w:val="008B41E9"/>
    <w:rsid w:val="008C16E3"/>
    <w:rsid w:val="00900E6B"/>
    <w:rsid w:val="00922972"/>
    <w:rsid w:val="00923A7A"/>
    <w:rsid w:val="009267D8"/>
    <w:rsid w:val="00945E3F"/>
    <w:rsid w:val="00954DE9"/>
    <w:rsid w:val="0095576A"/>
    <w:rsid w:val="00962F25"/>
    <w:rsid w:val="00972FA5"/>
    <w:rsid w:val="00973245"/>
    <w:rsid w:val="00975AE7"/>
    <w:rsid w:val="009A0CAC"/>
    <w:rsid w:val="009A3260"/>
    <w:rsid w:val="009A4904"/>
    <w:rsid w:val="009B7A49"/>
    <w:rsid w:val="009C4BF6"/>
    <w:rsid w:val="009D51D2"/>
    <w:rsid w:val="009D635F"/>
    <w:rsid w:val="009E6CB1"/>
    <w:rsid w:val="009F1865"/>
    <w:rsid w:val="009F5CFF"/>
    <w:rsid w:val="00A11AEA"/>
    <w:rsid w:val="00A1350A"/>
    <w:rsid w:val="00A30AD2"/>
    <w:rsid w:val="00A35967"/>
    <w:rsid w:val="00A45D4A"/>
    <w:rsid w:val="00A464D5"/>
    <w:rsid w:val="00A503C6"/>
    <w:rsid w:val="00A519B5"/>
    <w:rsid w:val="00A542E5"/>
    <w:rsid w:val="00A5509D"/>
    <w:rsid w:val="00A567A1"/>
    <w:rsid w:val="00A604B5"/>
    <w:rsid w:val="00A77285"/>
    <w:rsid w:val="00A82F47"/>
    <w:rsid w:val="00AA0155"/>
    <w:rsid w:val="00AA6927"/>
    <w:rsid w:val="00AB2406"/>
    <w:rsid w:val="00AC4C21"/>
    <w:rsid w:val="00AE0D29"/>
    <w:rsid w:val="00B057A9"/>
    <w:rsid w:val="00B10592"/>
    <w:rsid w:val="00B2305E"/>
    <w:rsid w:val="00B24F5B"/>
    <w:rsid w:val="00B27F33"/>
    <w:rsid w:val="00B33314"/>
    <w:rsid w:val="00B41883"/>
    <w:rsid w:val="00B55720"/>
    <w:rsid w:val="00B64EB8"/>
    <w:rsid w:val="00B66510"/>
    <w:rsid w:val="00B7158F"/>
    <w:rsid w:val="00B71DF5"/>
    <w:rsid w:val="00B76812"/>
    <w:rsid w:val="00B776E3"/>
    <w:rsid w:val="00B81C05"/>
    <w:rsid w:val="00B8475F"/>
    <w:rsid w:val="00B85EBF"/>
    <w:rsid w:val="00B95ADA"/>
    <w:rsid w:val="00B97CD6"/>
    <w:rsid w:val="00BA04E0"/>
    <w:rsid w:val="00BA5F09"/>
    <w:rsid w:val="00BA73F3"/>
    <w:rsid w:val="00BA782D"/>
    <w:rsid w:val="00BB15AC"/>
    <w:rsid w:val="00BB6DE8"/>
    <w:rsid w:val="00BC3235"/>
    <w:rsid w:val="00BC5A1A"/>
    <w:rsid w:val="00BD24C4"/>
    <w:rsid w:val="00BE5E83"/>
    <w:rsid w:val="00BE783A"/>
    <w:rsid w:val="00BF2214"/>
    <w:rsid w:val="00BF3C9D"/>
    <w:rsid w:val="00BF48F6"/>
    <w:rsid w:val="00BF6A2F"/>
    <w:rsid w:val="00C078DF"/>
    <w:rsid w:val="00C159C9"/>
    <w:rsid w:val="00C172F9"/>
    <w:rsid w:val="00C2415C"/>
    <w:rsid w:val="00C2703C"/>
    <w:rsid w:val="00C37C69"/>
    <w:rsid w:val="00C50B2D"/>
    <w:rsid w:val="00C542F9"/>
    <w:rsid w:val="00C54A0D"/>
    <w:rsid w:val="00C64769"/>
    <w:rsid w:val="00C65C36"/>
    <w:rsid w:val="00C82DC1"/>
    <w:rsid w:val="00C847B5"/>
    <w:rsid w:val="00C860A0"/>
    <w:rsid w:val="00C92865"/>
    <w:rsid w:val="00C94E8F"/>
    <w:rsid w:val="00CA433B"/>
    <w:rsid w:val="00CA7016"/>
    <w:rsid w:val="00CE19EE"/>
    <w:rsid w:val="00CE3604"/>
    <w:rsid w:val="00CE4B3B"/>
    <w:rsid w:val="00CE6C40"/>
    <w:rsid w:val="00CF21D1"/>
    <w:rsid w:val="00CF2395"/>
    <w:rsid w:val="00CF4739"/>
    <w:rsid w:val="00D01139"/>
    <w:rsid w:val="00D10FF9"/>
    <w:rsid w:val="00D14E8F"/>
    <w:rsid w:val="00D15029"/>
    <w:rsid w:val="00D212C3"/>
    <w:rsid w:val="00D2383D"/>
    <w:rsid w:val="00D2760D"/>
    <w:rsid w:val="00D36A5A"/>
    <w:rsid w:val="00D50432"/>
    <w:rsid w:val="00D53705"/>
    <w:rsid w:val="00D60C82"/>
    <w:rsid w:val="00D70D25"/>
    <w:rsid w:val="00D811FF"/>
    <w:rsid w:val="00D85291"/>
    <w:rsid w:val="00D947FA"/>
    <w:rsid w:val="00DC37B4"/>
    <w:rsid w:val="00DD546C"/>
    <w:rsid w:val="00DF08A0"/>
    <w:rsid w:val="00DF68BF"/>
    <w:rsid w:val="00DF6D16"/>
    <w:rsid w:val="00DF6EE8"/>
    <w:rsid w:val="00E04AB9"/>
    <w:rsid w:val="00E118BC"/>
    <w:rsid w:val="00E16B18"/>
    <w:rsid w:val="00E26F60"/>
    <w:rsid w:val="00E34B80"/>
    <w:rsid w:val="00E35876"/>
    <w:rsid w:val="00E41848"/>
    <w:rsid w:val="00E6124C"/>
    <w:rsid w:val="00E63B48"/>
    <w:rsid w:val="00E67792"/>
    <w:rsid w:val="00E72EA8"/>
    <w:rsid w:val="00EC25A0"/>
    <w:rsid w:val="00EC4D2C"/>
    <w:rsid w:val="00EC60EC"/>
    <w:rsid w:val="00EC6D79"/>
    <w:rsid w:val="00ED0CCF"/>
    <w:rsid w:val="00EF2667"/>
    <w:rsid w:val="00F04C3C"/>
    <w:rsid w:val="00F278D3"/>
    <w:rsid w:val="00F35084"/>
    <w:rsid w:val="00F41D78"/>
    <w:rsid w:val="00F46575"/>
    <w:rsid w:val="00F51D50"/>
    <w:rsid w:val="00F60555"/>
    <w:rsid w:val="00F71D46"/>
    <w:rsid w:val="00F74418"/>
    <w:rsid w:val="00F83399"/>
    <w:rsid w:val="00F85C29"/>
    <w:rsid w:val="00F956D8"/>
    <w:rsid w:val="00FA0CE7"/>
    <w:rsid w:val="00FA4CE4"/>
    <w:rsid w:val="00FA6F95"/>
    <w:rsid w:val="00FA729B"/>
    <w:rsid w:val="00FA7DD6"/>
    <w:rsid w:val="00FB0FB0"/>
    <w:rsid w:val="00FB3430"/>
    <w:rsid w:val="00FB4049"/>
    <w:rsid w:val="00FB419E"/>
    <w:rsid w:val="00FB4269"/>
    <w:rsid w:val="00FB6CC6"/>
    <w:rsid w:val="00FB70AF"/>
    <w:rsid w:val="00FC5A44"/>
    <w:rsid w:val="00FC6F7B"/>
    <w:rsid w:val="00FD3FCB"/>
    <w:rsid w:val="00FE53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A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5592"/>
    <w:pPr>
      <w:ind w:left="720"/>
      <w:contextualSpacing/>
    </w:pPr>
  </w:style>
  <w:style w:type="paragraph" w:styleId="Bezproreda">
    <w:name w:val="No Spacing"/>
    <w:qFormat/>
    <w:rsid w:val="00DF08A0"/>
    <w:pPr>
      <w:spacing w:after="0" w:line="240" w:lineRule="auto"/>
    </w:pPr>
  </w:style>
  <w:style w:type="paragraph" w:styleId="Tekstbalonia">
    <w:name w:val="Balloon Text"/>
    <w:basedOn w:val="Normal"/>
    <w:link w:val="TekstbaloniaChar"/>
    <w:uiPriority w:val="99"/>
    <w:semiHidden/>
    <w:unhideWhenUsed/>
    <w:rsid w:val="00354E8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4E89"/>
    <w:rPr>
      <w:rFonts w:ascii="Tahoma" w:hAnsi="Tahoma" w:cs="Tahoma"/>
      <w:sz w:val="16"/>
      <w:szCs w:val="16"/>
    </w:rPr>
  </w:style>
  <w:style w:type="table" w:styleId="Reetkatablice">
    <w:name w:val="Table Grid"/>
    <w:basedOn w:val="Obinatablica"/>
    <w:uiPriority w:val="59"/>
    <w:rsid w:val="0034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A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5592"/>
    <w:pPr>
      <w:ind w:left="720"/>
      <w:contextualSpacing/>
    </w:pPr>
  </w:style>
  <w:style w:type="paragraph" w:styleId="Bezproreda">
    <w:name w:val="No Spacing"/>
    <w:qFormat/>
    <w:rsid w:val="00DF08A0"/>
    <w:pPr>
      <w:spacing w:after="0" w:line="240" w:lineRule="auto"/>
    </w:pPr>
  </w:style>
  <w:style w:type="paragraph" w:styleId="Tekstbalonia">
    <w:name w:val="Balloon Text"/>
    <w:basedOn w:val="Normal"/>
    <w:link w:val="TekstbaloniaChar"/>
    <w:uiPriority w:val="99"/>
    <w:semiHidden/>
    <w:unhideWhenUsed/>
    <w:rsid w:val="00354E8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4E89"/>
    <w:rPr>
      <w:rFonts w:ascii="Tahoma" w:hAnsi="Tahoma" w:cs="Tahoma"/>
      <w:sz w:val="16"/>
      <w:szCs w:val="16"/>
    </w:rPr>
  </w:style>
  <w:style w:type="table" w:styleId="Reetkatablice">
    <w:name w:val="Table Grid"/>
    <w:basedOn w:val="Obinatablica"/>
    <w:uiPriority w:val="59"/>
    <w:rsid w:val="0034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082">
      <w:bodyDiv w:val="1"/>
      <w:marLeft w:val="0"/>
      <w:marRight w:val="0"/>
      <w:marTop w:val="0"/>
      <w:marBottom w:val="0"/>
      <w:divBdr>
        <w:top w:val="none" w:sz="0" w:space="0" w:color="auto"/>
        <w:left w:val="none" w:sz="0" w:space="0" w:color="auto"/>
        <w:bottom w:val="none" w:sz="0" w:space="0" w:color="auto"/>
        <w:right w:val="none" w:sz="0" w:space="0" w:color="auto"/>
      </w:divBdr>
    </w:div>
    <w:div w:id="199367282">
      <w:bodyDiv w:val="1"/>
      <w:marLeft w:val="0"/>
      <w:marRight w:val="0"/>
      <w:marTop w:val="0"/>
      <w:marBottom w:val="0"/>
      <w:divBdr>
        <w:top w:val="none" w:sz="0" w:space="0" w:color="auto"/>
        <w:left w:val="none" w:sz="0" w:space="0" w:color="auto"/>
        <w:bottom w:val="none" w:sz="0" w:space="0" w:color="auto"/>
        <w:right w:val="none" w:sz="0" w:space="0" w:color="auto"/>
      </w:divBdr>
    </w:div>
    <w:div w:id="652680692">
      <w:bodyDiv w:val="1"/>
      <w:marLeft w:val="0"/>
      <w:marRight w:val="0"/>
      <w:marTop w:val="0"/>
      <w:marBottom w:val="0"/>
      <w:divBdr>
        <w:top w:val="none" w:sz="0" w:space="0" w:color="auto"/>
        <w:left w:val="none" w:sz="0" w:space="0" w:color="auto"/>
        <w:bottom w:val="none" w:sz="0" w:space="0" w:color="auto"/>
        <w:right w:val="none" w:sz="0" w:space="0" w:color="auto"/>
      </w:divBdr>
    </w:div>
    <w:div w:id="806900853">
      <w:bodyDiv w:val="1"/>
      <w:marLeft w:val="0"/>
      <w:marRight w:val="0"/>
      <w:marTop w:val="0"/>
      <w:marBottom w:val="0"/>
      <w:divBdr>
        <w:top w:val="none" w:sz="0" w:space="0" w:color="auto"/>
        <w:left w:val="none" w:sz="0" w:space="0" w:color="auto"/>
        <w:bottom w:val="none" w:sz="0" w:space="0" w:color="auto"/>
        <w:right w:val="none" w:sz="0" w:space="0" w:color="auto"/>
      </w:divBdr>
    </w:div>
    <w:div w:id="1619485421">
      <w:bodyDiv w:val="1"/>
      <w:marLeft w:val="0"/>
      <w:marRight w:val="0"/>
      <w:marTop w:val="0"/>
      <w:marBottom w:val="0"/>
      <w:divBdr>
        <w:top w:val="none" w:sz="0" w:space="0" w:color="auto"/>
        <w:left w:val="none" w:sz="0" w:space="0" w:color="auto"/>
        <w:bottom w:val="none" w:sz="0" w:space="0" w:color="auto"/>
        <w:right w:val="none" w:sz="0" w:space="0" w:color="auto"/>
      </w:divBdr>
    </w:div>
    <w:div w:id="1731683313">
      <w:bodyDiv w:val="1"/>
      <w:marLeft w:val="0"/>
      <w:marRight w:val="0"/>
      <w:marTop w:val="0"/>
      <w:marBottom w:val="0"/>
      <w:divBdr>
        <w:top w:val="none" w:sz="0" w:space="0" w:color="auto"/>
        <w:left w:val="none" w:sz="0" w:space="0" w:color="auto"/>
        <w:bottom w:val="none" w:sz="0" w:space="0" w:color="auto"/>
        <w:right w:val="none" w:sz="0" w:space="0" w:color="auto"/>
      </w:divBdr>
    </w:div>
    <w:div w:id="2023555762">
      <w:bodyDiv w:val="1"/>
      <w:marLeft w:val="0"/>
      <w:marRight w:val="0"/>
      <w:marTop w:val="0"/>
      <w:marBottom w:val="0"/>
      <w:divBdr>
        <w:top w:val="none" w:sz="0" w:space="0" w:color="auto"/>
        <w:left w:val="none" w:sz="0" w:space="0" w:color="auto"/>
        <w:bottom w:val="none" w:sz="0" w:space="0" w:color="auto"/>
        <w:right w:val="none" w:sz="0" w:space="0" w:color="auto"/>
      </w:divBdr>
    </w:div>
    <w:div w:id="21273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C69B0-4081-4F5E-9B66-E282E6B2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20</Pages>
  <Words>4820</Words>
  <Characters>27477</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2022-12-28T07:40:00Z</cp:lastPrinted>
  <dcterms:created xsi:type="dcterms:W3CDTF">2024-08-29T07:23:00Z</dcterms:created>
  <dcterms:modified xsi:type="dcterms:W3CDTF">2024-08-29T10:50:00Z</dcterms:modified>
</cp:coreProperties>
</file>