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C5" w:rsidRPr="00514A5C" w:rsidRDefault="00054FC5" w:rsidP="004F1DB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  <w:r w:rsidRPr="00514A5C"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  <w:t>DOM ZA STARIJE I NEMOĆNE</w:t>
      </w:r>
    </w:p>
    <w:p w:rsidR="00054FC5" w:rsidRPr="00514A5C" w:rsidRDefault="00054FC5" w:rsidP="004F1DB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  <w:r w:rsidRPr="00514A5C"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  <w:t>OSOBE VARAŽDIN</w:t>
      </w: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  <w:r w:rsidRPr="00514A5C"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  <w:t xml:space="preserve"> </w:t>
      </w: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</w:pPr>
      <w:r w:rsidRPr="00514A5C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 xml:space="preserve"> </w:t>
      </w:r>
    </w:p>
    <w:p w:rsidR="00054FC5" w:rsidRPr="00514A5C" w:rsidRDefault="00054FC5" w:rsidP="00514A5C">
      <w:pPr>
        <w:tabs>
          <w:tab w:val="center" w:pos="4536"/>
          <w:tab w:val="right" w:pos="9072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054FC5" w:rsidRPr="00514A5C" w:rsidRDefault="00224BAB" w:rsidP="00C503C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GODIŠNJI IZVJEŠTAJ</w:t>
      </w:r>
      <w:r w:rsidR="00054FC5" w:rsidRPr="00514A5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 O IZVRŠENJU</w:t>
      </w:r>
    </w:p>
    <w:p w:rsidR="00054FC5" w:rsidRPr="00514A5C" w:rsidRDefault="00054FC5" w:rsidP="00C503C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514A5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FINANCIJSKOG PLANA DOMA ZA STARIJE I NEMOĆNE OSOBE VARAŽDIN</w:t>
      </w:r>
    </w:p>
    <w:p w:rsidR="00054FC5" w:rsidRPr="00514A5C" w:rsidRDefault="002F6994" w:rsidP="002F699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 </w:t>
      </w:r>
      <w:r w:rsidR="00C1341B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ZA 2025</w:t>
      </w:r>
      <w:r w:rsidR="00054FC5" w:rsidRPr="00514A5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. GODINU</w:t>
      </w: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left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left" w:pos="6375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4A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C4BB8" w:rsidRPr="00514A5C" w:rsidRDefault="00CC4BB8" w:rsidP="00054FC5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FC5" w:rsidRPr="00514A5C" w:rsidRDefault="00054FC5" w:rsidP="00547EA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7EAE" w:rsidRPr="00547EAE" w:rsidRDefault="00883356" w:rsidP="00C50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Varaždin, 2026</w:t>
      </w:r>
      <w:r w:rsidR="00547EA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47EAE" w:rsidRDefault="00547EAE" w:rsidP="00547EAE">
      <w:pPr>
        <w:rPr>
          <w:rFonts w:ascii="Times New Roman" w:hAnsi="Times New Roman" w:cs="Times New Roman"/>
          <w:sz w:val="24"/>
          <w:szCs w:val="24"/>
        </w:rPr>
      </w:pPr>
    </w:p>
    <w:p w:rsidR="003C48C7" w:rsidRPr="00547EAE" w:rsidRDefault="003C48C7" w:rsidP="00547EAE">
      <w:pPr>
        <w:rPr>
          <w:rFonts w:ascii="Times New Roman" w:hAnsi="Times New Roman" w:cs="Times New Roman"/>
          <w:sz w:val="24"/>
          <w:szCs w:val="24"/>
        </w:rPr>
        <w:sectPr w:rsidR="003C48C7" w:rsidRPr="00547EAE" w:rsidSect="00DF08A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F48F6" w:rsidRPr="00954953" w:rsidRDefault="00D01139" w:rsidP="00C5513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FF2942">
        <w:rPr>
          <w:rFonts w:ascii="Times New Roman" w:hAnsi="Times New Roman" w:cs="Times New Roman"/>
          <w:sz w:val="24"/>
          <w:szCs w:val="24"/>
        </w:rPr>
        <w:t xml:space="preserve">Temeljem odredbi </w:t>
      </w:r>
      <w:r w:rsidR="000C7FA9" w:rsidRPr="00FF2942">
        <w:rPr>
          <w:rFonts w:ascii="Times New Roman" w:hAnsi="Times New Roman" w:cs="Times New Roman"/>
          <w:sz w:val="24"/>
          <w:szCs w:val="24"/>
        </w:rPr>
        <w:t>članka 86.</w:t>
      </w:r>
      <w:r w:rsidR="00BC5A3F" w:rsidRPr="00FF2942">
        <w:rPr>
          <w:rFonts w:ascii="Times New Roman" w:hAnsi="Times New Roman" w:cs="Times New Roman"/>
          <w:sz w:val="24"/>
          <w:szCs w:val="24"/>
        </w:rPr>
        <w:t xml:space="preserve"> </w:t>
      </w:r>
      <w:r w:rsidR="00BE473F" w:rsidRPr="00FF2942">
        <w:rPr>
          <w:rFonts w:ascii="Times New Roman" w:hAnsi="Times New Roman" w:cs="Times New Roman"/>
          <w:sz w:val="24"/>
          <w:szCs w:val="24"/>
        </w:rPr>
        <w:t>s</w:t>
      </w:r>
      <w:r w:rsidR="00BC5A3F" w:rsidRPr="00FF2942">
        <w:rPr>
          <w:rFonts w:ascii="Times New Roman" w:hAnsi="Times New Roman" w:cs="Times New Roman"/>
          <w:sz w:val="24"/>
          <w:szCs w:val="24"/>
        </w:rPr>
        <w:t>tavka 3.</w:t>
      </w:r>
      <w:r w:rsidR="000C7FA9" w:rsidRPr="00FF2942">
        <w:rPr>
          <w:rFonts w:ascii="Times New Roman" w:hAnsi="Times New Roman" w:cs="Times New Roman"/>
          <w:sz w:val="24"/>
          <w:szCs w:val="24"/>
        </w:rPr>
        <w:t xml:space="preserve"> </w:t>
      </w:r>
      <w:r w:rsidRPr="00FF2942">
        <w:rPr>
          <w:rFonts w:ascii="Times New Roman" w:hAnsi="Times New Roman" w:cs="Times New Roman"/>
          <w:sz w:val="24"/>
          <w:szCs w:val="24"/>
        </w:rPr>
        <w:t>Zakona o proračunu (NN 144/21)</w:t>
      </w:r>
      <w:r w:rsidR="000C7FA9" w:rsidRPr="00FF2942">
        <w:rPr>
          <w:rFonts w:ascii="Times New Roman" w:hAnsi="Times New Roman" w:cs="Times New Roman"/>
          <w:sz w:val="24"/>
          <w:szCs w:val="24"/>
        </w:rPr>
        <w:t xml:space="preserve">, </w:t>
      </w:r>
      <w:r w:rsidR="00BC5A3F" w:rsidRPr="00FF2942">
        <w:rPr>
          <w:rFonts w:ascii="Times New Roman" w:hAnsi="Times New Roman" w:cs="Times New Roman"/>
          <w:sz w:val="24"/>
          <w:szCs w:val="24"/>
        </w:rPr>
        <w:t xml:space="preserve">članka 52. </w:t>
      </w:r>
      <w:r w:rsidR="00BE473F" w:rsidRPr="00FF2942">
        <w:rPr>
          <w:rFonts w:ascii="Times New Roman" w:hAnsi="Times New Roman" w:cs="Times New Roman"/>
          <w:sz w:val="24"/>
          <w:szCs w:val="24"/>
        </w:rPr>
        <w:t>s</w:t>
      </w:r>
      <w:r w:rsidR="00BC5A3F" w:rsidRPr="00FF2942">
        <w:rPr>
          <w:rFonts w:ascii="Times New Roman" w:hAnsi="Times New Roman" w:cs="Times New Roman"/>
          <w:sz w:val="24"/>
          <w:szCs w:val="24"/>
        </w:rPr>
        <w:t>tavka 7</w:t>
      </w:r>
      <w:r w:rsidR="000C7FA9" w:rsidRPr="00FF2942">
        <w:rPr>
          <w:rFonts w:ascii="Times New Roman" w:hAnsi="Times New Roman" w:cs="Times New Roman"/>
          <w:sz w:val="24"/>
          <w:szCs w:val="24"/>
        </w:rPr>
        <w:t xml:space="preserve">. Pravilnika o polugodišnjem i godišnjem izvještaju o </w:t>
      </w:r>
      <w:r w:rsidR="000C7FA9" w:rsidRPr="00954953">
        <w:rPr>
          <w:rFonts w:ascii="Times New Roman" w:hAnsi="Times New Roman" w:cs="Times New Roman"/>
          <w:sz w:val="24"/>
          <w:szCs w:val="24"/>
        </w:rPr>
        <w:t>izvršenju pror</w:t>
      </w:r>
      <w:r w:rsidR="00AA24A3" w:rsidRPr="00954953">
        <w:rPr>
          <w:rFonts w:ascii="Times New Roman" w:hAnsi="Times New Roman" w:cs="Times New Roman"/>
          <w:sz w:val="24"/>
          <w:szCs w:val="24"/>
        </w:rPr>
        <w:t xml:space="preserve">ačuna (NN </w:t>
      </w:r>
      <w:r w:rsidR="00AD1DD0" w:rsidRPr="00954953">
        <w:rPr>
          <w:rFonts w:ascii="Times New Roman" w:hAnsi="Times New Roman" w:cs="Times New Roman"/>
          <w:sz w:val="24"/>
          <w:szCs w:val="24"/>
        </w:rPr>
        <w:t>85/23</w:t>
      </w:r>
      <w:r w:rsidR="000C7FA9" w:rsidRPr="00954953">
        <w:rPr>
          <w:rFonts w:ascii="Times New Roman" w:hAnsi="Times New Roman" w:cs="Times New Roman"/>
          <w:sz w:val="24"/>
          <w:szCs w:val="24"/>
        </w:rPr>
        <w:t>),</w:t>
      </w:r>
      <w:r w:rsidR="00FF2942" w:rsidRPr="00954953">
        <w:rPr>
          <w:rFonts w:ascii="Times New Roman" w:hAnsi="Times New Roman" w:cs="Times New Roman"/>
          <w:sz w:val="24"/>
          <w:szCs w:val="24"/>
        </w:rPr>
        <w:t xml:space="preserve"> </w:t>
      </w:r>
      <w:r w:rsidR="00FF2942" w:rsidRPr="00D22892">
        <w:rPr>
          <w:rFonts w:ascii="Times New Roman" w:hAnsi="Times New Roman" w:cs="Times New Roman"/>
          <w:sz w:val="24"/>
          <w:szCs w:val="24"/>
        </w:rPr>
        <w:t>članka 29</w:t>
      </w:r>
      <w:r w:rsidR="000C7FA9" w:rsidRPr="00D22892">
        <w:rPr>
          <w:rFonts w:ascii="Times New Roman" w:hAnsi="Times New Roman" w:cs="Times New Roman"/>
          <w:sz w:val="24"/>
          <w:szCs w:val="24"/>
        </w:rPr>
        <w:t>. Odluke o izvršavanju Prorač</w:t>
      </w:r>
      <w:r w:rsidR="00D22892" w:rsidRPr="00D22892">
        <w:rPr>
          <w:rFonts w:ascii="Times New Roman" w:hAnsi="Times New Roman" w:cs="Times New Roman"/>
          <w:sz w:val="24"/>
          <w:szCs w:val="24"/>
        </w:rPr>
        <w:t>una Varaždinske županije za 2025</w:t>
      </w:r>
      <w:r w:rsidR="000C7FA9" w:rsidRPr="00D22892">
        <w:rPr>
          <w:rFonts w:ascii="Times New Roman" w:hAnsi="Times New Roman" w:cs="Times New Roman"/>
          <w:sz w:val="24"/>
          <w:szCs w:val="24"/>
        </w:rPr>
        <w:t>. godinu (</w:t>
      </w:r>
      <w:r w:rsidR="00BB0762">
        <w:rPr>
          <w:rFonts w:ascii="Times New Roman" w:hAnsi="Times New Roman" w:cs="Times New Roman"/>
          <w:sz w:val="24"/>
          <w:szCs w:val="24"/>
        </w:rPr>
        <w:t>„</w:t>
      </w:r>
      <w:r w:rsidR="000C7FA9" w:rsidRPr="00D22892">
        <w:rPr>
          <w:rFonts w:ascii="Times New Roman" w:hAnsi="Times New Roman" w:cs="Times New Roman"/>
          <w:sz w:val="24"/>
          <w:szCs w:val="24"/>
        </w:rPr>
        <w:t>Službeni vjes</w:t>
      </w:r>
      <w:r w:rsidR="00D22892" w:rsidRPr="00D22892">
        <w:rPr>
          <w:rFonts w:ascii="Times New Roman" w:hAnsi="Times New Roman" w:cs="Times New Roman"/>
          <w:sz w:val="24"/>
          <w:szCs w:val="24"/>
        </w:rPr>
        <w:t>nik Varaždinske županije</w:t>
      </w:r>
      <w:r w:rsidR="00BB0762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  <w:r w:rsidR="00D22892" w:rsidRPr="00D22892">
        <w:rPr>
          <w:rFonts w:ascii="Times New Roman" w:hAnsi="Times New Roman" w:cs="Times New Roman"/>
          <w:sz w:val="24"/>
          <w:szCs w:val="24"/>
        </w:rPr>
        <w:t xml:space="preserve"> br. 104/24</w:t>
      </w:r>
      <w:r w:rsidR="00B04315">
        <w:rPr>
          <w:rFonts w:ascii="Times New Roman" w:hAnsi="Times New Roman" w:cs="Times New Roman"/>
          <w:sz w:val="24"/>
          <w:szCs w:val="24"/>
        </w:rPr>
        <w:t>, 29/25</w:t>
      </w:r>
      <w:r w:rsidR="000C7FA9" w:rsidRPr="00D22892">
        <w:rPr>
          <w:rFonts w:ascii="Times New Roman" w:hAnsi="Times New Roman" w:cs="Times New Roman"/>
          <w:sz w:val="24"/>
          <w:szCs w:val="24"/>
        </w:rPr>
        <w:t>)</w:t>
      </w:r>
      <w:r w:rsidRPr="00D22892">
        <w:rPr>
          <w:rFonts w:ascii="Times New Roman" w:hAnsi="Times New Roman" w:cs="Times New Roman"/>
          <w:sz w:val="24"/>
          <w:szCs w:val="24"/>
        </w:rPr>
        <w:t xml:space="preserve"> i </w:t>
      </w:r>
      <w:r w:rsidR="005D50C3" w:rsidRPr="00D22892">
        <w:rPr>
          <w:rFonts w:ascii="Times New Roman" w:hAnsi="Times New Roman" w:cs="Times New Roman"/>
          <w:sz w:val="24"/>
          <w:szCs w:val="24"/>
        </w:rPr>
        <w:t>članka 29</w:t>
      </w:r>
      <w:r w:rsidRPr="00D22892">
        <w:rPr>
          <w:rFonts w:ascii="Times New Roman" w:hAnsi="Times New Roman" w:cs="Times New Roman"/>
          <w:sz w:val="24"/>
          <w:szCs w:val="24"/>
        </w:rPr>
        <w:t>.</w:t>
      </w:r>
      <w:r w:rsidRPr="00954953">
        <w:rPr>
          <w:rFonts w:ascii="Times New Roman" w:hAnsi="Times New Roman" w:cs="Times New Roman"/>
          <w:sz w:val="24"/>
          <w:szCs w:val="24"/>
        </w:rPr>
        <w:t xml:space="preserve"> Statuta Doma za starije i nemoćn</w:t>
      </w:r>
      <w:r w:rsidR="005D50C3" w:rsidRPr="00954953">
        <w:rPr>
          <w:rFonts w:ascii="Times New Roman" w:hAnsi="Times New Roman" w:cs="Times New Roman"/>
          <w:sz w:val="24"/>
          <w:szCs w:val="24"/>
        </w:rPr>
        <w:t>e osobe Varaždin (URBROJ: 2186-1-25/01-23/36-16-1</w:t>
      </w:r>
      <w:r w:rsidR="00954953" w:rsidRPr="00954953">
        <w:rPr>
          <w:rFonts w:ascii="Times New Roman" w:hAnsi="Times New Roman" w:cs="Times New Roman"/>
          <w:sz w:val="24"/>
          <w:szCs w:val="24"/>
        </w:rPr>
        <w:t xml:space="preserve"> i 2186-1-25/01-24/57-11-1</w:t>
      </w:r>
      <w:r w:rsidRPr="00954953">
        <w:rPr>
          <w:rFonts w:ascii="Times New Roman" w:hAnsi="Times New Roman" w:cs="Times New Roman"/>
          <w:sz w:val="24"/>
          <w:szCs w:val="24"/>
        </w:rPr>
        <w:t>), Upravno vij</w:t>
      </w:r>
      <w:r w:rsidR="000248C2" w:rsidRPr="00954953">
        <w:rPr>
          <w:rFonts w:ascii="Times New Roman" w:hAnsi="Times New Roman" w:cs="Times New Roman"/>
          <w:sz w:val="24"/>
          <w:szCs w:val="24"/>
        </w:rPr>
        <w:t xml:space="preserve">eće na sjednici održanoj </w:t>
      </w:r>
      <w:r w:rsidR="00051455" w:rsidRPr="00954953">
        <w:rPr>
          <w:rFonts w:ascii="Times New Roman" w:hAnsi="Times New Roman" w:cs="Times New Roman"/>
          <w:sz w:val="24"/>
          <w:szCs w:val="24"/>
        </w:rPr>
        <w:t xml:space="preserve">dana </w:t>
      </w:r>
      <w:r w:rsidR="00CB5446" w:rsidRPr="00CB5446">
        <w:rPr>
          <w:rFonts w:ascii="Times New Roman" w:hAnsi="Times New Roman" w:cs="Times New Roman"/>
          <w:sz w:val="24"/>
          <w:szCs w:val="24"/>
        </w:rPr>
        <w:t>31</w:t>
      </w:r>
      <w:r w:rsidR="00883356" w:rsidRPr="00CB5446">
        <w:rPr>
          <w:rFonts w:ascii="Times New Roman" w:hAnsi="Times New Roman" w:cs="Times New Roman"/>
          <w:sz w:val="24"/>
          <w:szCs w:val="24"/>
        </w:rPr>
        <w:t>.03.2026</w:t>
      </w:r>
      <w:r w:rsidRPr="00954953">
        <w:rPr>
          <w:rFonts w:ascii="Times New Roman" w:hAnsi="Times New Roman" w:cs="Times New Roman"/>
          <w:sz w:val="24"/>
          <w:szCs w:val="24"/>
        </w:rPr>
        <w:t>. godine donosi:</w:t>
      </w:r>
    </w:p>
    <w:p w:rsidR="000248C2" w:rsidRDefault="00051455" w:rsidP="000C7FA9">
      <w:pPr>
        <w:pStyle w:val="Odlomakpopisa"/>
        <w:spacing w:after="12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0C7FA9">
        <w:rPr>
          <w:rFonts w:ascii="Times New Roman" w:hAnsi="Times New Roman" w:cs="Times New Roman"/>
          <w:b/>
          <w:sz w:val="24"/>
          <w:szCs w:val="24"/>
        </w:rPr>
        <w:t>odišnji izvještaj o izvršenju Financijskog plana</w:t>
      </w:r>
    </w:p>
    <w:p w:rsidR="00BF48F6" w:rsidRDefault="00D2383D" w:rsidP="00AA6927">
      <w:pPr>
        <w:pStyle w:val="Odlomakpopisa"/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C2">
        <w:rPr>
          <w:rFonts w:ascii="Times New Roman" w:hAnsi="Times New Roman" w:cs="Times New Roman"/>
          <w:b/>
          <w:sz w:val="24"/>
          <w:szCs w:val="24"/>
        </w:rPr>
        <w:t xml:space="preserve">Doma za starije </w:t>
      </w:r>
      <w:r w:rsidR="00883356">
        <w:rPr>
          <w:rFonts w:ascii="Times New Roman" w:hAnsi="Times New Roman" w:cs="Times New Roman"/>
          <w:b/>
          <w:sz w:val="24"/>
          <w:szCs w:val="24"/>
        </w:rPr>
        <w:t>i nemoćne osobe Varaždin za 2025</w:t>
      </w:r>
      <w:r w:rsidRPr="000248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6927">
        <w:rPr>
          <w:rFonts w:ascii="Times New Roman" w:hAnsi="Times New Roman" w:cs="Times New Roman"/>
          <w:b/>
          <w:sz w:val="24"/>
          <w:szCs w:val="24"/>
        </w:rPr>
        <w:t>g</w:t>
      </w:r>
      <w:r w:rsidRPr="000248C2">
        <w:rPr>
          <w:rFonts w:ascii="Times New Roman" w:hAnsi="Times New Roman" w:cs="Times New Roman"/>
          <w:b/>
          <w:sz w:val="24"/>
          <w:szCs w:val="24"/>
        </w:rPr>
        <w:t>odinu</w:t>
      </w:r>
    </w:p>
    <w:p w:rsidR="00AA6927" w:rsidRDefault="00AA6927" w:rsidP="00AA6927">
      <w:pPr>
        <w:pStyle w:val="Odlomakpopisa"/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618" w:rsidRPr="00AA6927" w:rsidRDefault="00BF48F6" w:rsidP="00C44054">
      <w:pPr>
        <w:pStyle w:val="Odlomakpopisa"/>
        <w:numPr>
          <w:ilvl w:val="0"/>
          <w:numId w:val="11"/>
        </w:numPr>
        <w:spacing w:after="120"/>
        <w:ind w:left="284" w:hanging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 DIO</w:t>
      </w:r>
    </w:p>
    <w:p w:rsidR="00C65C36" w:rsidRDefault="00BF48F6" w:rsidP="00C5513D">
      <w:pPr>
        <w:pStyle w:val="Odlomakpopisa"/>
        <w:spacing w:after="0"/>
        <w:ind w:left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BF48F6">
        <w:rPr>
          <w:rFonts w:ascii="Times New Roman" w:hAnsi="Times New Roman" w:cs="Times New Roman"/>
          <w:sz w:val="24"/>
          <w:szCs w:val="24"/>
        </w:rPr>
        <w:t>Članak 1.</w:t>
      </w:r>
    </w:p>
    <w:p w:rsidR="00BB15AC" w:rsidRDefault="00051455" w:rsidP="00437F1A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G</w:t>
      </w:r>
      <w:r w:rsidR="00A31B73">
        <w:rPr>
          <w:rFonts w:ascii="Times New Roman" w:hAnsi="Times New Roman" w:cs="Times New Roman"/>
          <w:sz w:val="24"/>
          <w:szCs w:val="24"/>
        </w:rPr>
        <w:t>odišnjeg izvještaja o izvršenju</w:t>
      </w:r>
      <w:r w:rsidR="0029083A" w:rsidRPr="00D14E8F">
        <w:rPr>
          <w:rFonts w:ascii="Times New Roman" w:hAnsi="Times New Roman" w:cs="Times New Roman"/>
          <w:sz w:val="24"/>
          <w:szCs w:val="24"/>
        </w:rPr>
        <w:t xml:space="preserve"> Financijskog</w:t>
      </w:r>
      <w:r w:rsidR="00C65C36" w:rsidRPr="00D14E8F">
        <w:rPr>
          <w:rFonts w:ascii="Times New Roman" w:hAnsi="Times New Roman" w:cs="Times New Roman"/>
          <w:sz w:val="24"/>
          <w:szCs w:val="24"/>
        </w:rPr>
        <w:t xml:space="preserve"> plan</w:t>
      </w:r>
      <w:r w:rsidR="0029083A" w:rsidRPr="00D14E8F">
        <w:rPr>
          <w:rFonts w:ascii="Times New Roman" w:hAnsi="Times New Roman" w:cs="Times New Roman"/>
          <w:sz w:val="24"/>
          <w:szCs w:val="24"/>
        </w:rPr>
        <w:t>a</w:t>
      </w:r>
      <w:r w:rsidR="00C65C36" w:rsidRPr="00D14E8F">
        <w:rPr>
          <w:rFonts w:ascii="Times New Roman" w:hAnsi="Times New Roman" w:cs="Times New Roman"/>
          <w:sz w:val="24"/>
          <w:szCs w:val="24"/>
        </w:rPr>
        <w:t xml:space="preserve"> Doma za s</w:t>
      </w:r>
      <w:r w:rsidR="0029083A" w:rsidRPr="00D14E8F">
        <w:rPr>
          <w:rFonts w:ascii="Times New Roman" w:hAnsi="Times New Roman" w:cs="Times New Roman"/>
          <w:sz w:val="24"/>
          <w:szCs w:val="24"/>
        </w:rPr>
        <w:t>tarije i nemoćne osobe Varaždin</w:t>
      </w:r>
      <w:r w:rsidR="00883356">
        <w:rPr>
          <w:rFonts w:ascii="Times New Roman" w:hAnsi="Times New Roman" w:cs="Times New Roman"/>
          <w:sz w:val="24"/>
          <w:szCs w:val="24"/>
        </w:rPr>
        <w:t xml:space="preserve"> za 2025</w:t>
      </w:r>
      <w:r w:rsidR="00C65C36" w:rsidRPr="00D14E8F">
        <w:rPr>
          <w:rFonts w:ascii="Times New Roman" w:hAnsi="Times New Roman" w:cs="Times New Roman"/>
          <w:sz w:val="24"/>
          <w:szCs w:val="24"/>
        </w:rPr>
        <w:t xml:space="preserve">. </w:t>
      </w:r>
      <w:r w:rsidR="00E16B18" w:rsidRPr="00D14E8F">
        <w:rPr>
          <w:rFonts w:ascii="Times New Roman" w:hAnsi="Times New Roman" w:cs="Times New Roman"/>
          <w:sz w:val="24"/>
          <w:szCs w:val="24"/>
        </w:rPr>
        <w:t>g</w:t>
      </w:r>
      <w:r w:rsidR="00C5513D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 sastoji se od: sažetka Računa prihoda i rashoda i Računa financiranja </w:t>
      </w:r>
      <w:r w:rsidR="00C5513D">
        <w:rPr>
          <w:rFonts w:ascii="Times New Roman" w:hAnsi="Times New Roman" w:cs="Times New Roman"/>
          <w:sz w:val="24"/>
          <w:szCs w:val="24"/>
        </w:rPr>
        <w:t xml:space="preserve">kako slijedi: </w:t>
      </w:r>
    </w:p>
    <w:p w:rsidR="00A03FB5" w:rsidRPr="0044282C" w:rsidRDefault="007A32C9" w:rsidP="00B973D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A32C9">
        <w:rPr>
          <w:noProof/>
          <w:lang w:eastAsia="hr-HR"/>
        </w:rPr>
        <w:drawing>
          <wp:inline distT="0" distB="0" distL="0" distR="0" wp14:anchorId="5B20EE22" wp14:editId="195C8053">
            <wp:extent cx="9091295" cy="394449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295" cy="394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3C" w:rsidRDefault="00C2703C" w:rsidP="006175C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2703C"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:rsidR="006175CA" w:rsidRDefault="006175CA" w:rsidP="00BB15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te</w:t>
      </w:r>
      <w:r w:rsidR="004C44CD">
        <w:rPr>
          <w:rFonts w:ascii="Times New Roman" w:hAnsi="Times New Roman" w:cs="Times New Roman"/>
          <w:sz w:val="24"/>
          <w:szCs w:val="24"/>
        </w:rPr>
        <w:t xml:space="preserve"> primici i</w:t>
      </w:r>
      <w:r>
        <w:rPr>
          <w:rFonts w:ascii="Times New Roman" w:hAnsi="Times New Roman" w:cs="Times New Roman"/>
          <w:sz w:val="24"/>
          <w:szCs w:val="24"/>
        </w:rPr>
        <w:t xml:space="preserve"> izdaci utvrđuju se u Računu prihoda i rashoda i Računu financiranja</w:t>
      </w:r>
      <w:r w:rsidR="003307FE">
        <w:rPr>
          <w:rFonts w:ascii="Times New Roman" w:hAnsi="Times New Roman" w:cs="Times New Roman"/>
          <w:sz w:val="24"/>
          <w:szCs w:val="24"/>
        </w:rPr>
        <w:t xml:space="preserve"> u G</w:t>
      </w:r>
      <w:r w:rsidR="007F7CF8">
        <w:rPr>
          <w:rFonts w:ascii="Times New Roman" w:hAnsi="Times New Roman" w:cs="Times New Roman"/>
          <w:sz w:val="24"/>
          <w:szCs w:val="24"/>
        </w:rPr>
        <w:t>odišnjem izvještaju o izvršenju</w:t>
      </w:r>
      <w:r>
        <w:rPr>
          <w:rFonts w:ascii="Times New Roman" w:hAnsi="Times New Roman" w:cs="Times New Roman"/>
          <w:sz w:val="24"/>
          <w:szCs w:val="24"/>
        </w:rPr>
        <w:t xml:space="preserve"> Financijsk</w:t>
      </w:r>
      <w:r w:rsidR="00883356">
        <w:rPr>
          <w:rFonts w:ascii="Times New Roman" w:hAnsi="Times New Roman" w:cs="Times New Roman"/>
          <w:sz w:val="24"/>
          <w:szCs w:val="24"/>
        </w:rPr>
        <w:t>og plana za 2025</w:t>
      </w:r>
      <w:r w:rsidR="005E3D5F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W w:w="14060" w:type="dxa"/>
        <w:tblInd w:w="93" w:type="dxa"/>
        <w:tblLook w:val="04A0" w:firstRow="1" w:lastRow="0" w:firstColumn="1" w:lastColumn="0" w:noHBand="0" w:noVBand="1"/>
      </w:tblPr>
      <w:tblGrid>
        <w:gridCol w:w="6340"/>
        <w:gridCol w:w="1760"/>
        <w:gridCol w:w="1280"/>
        <w:gridCol w:w="1420"/>
        <w:gridCol w:w="1700"/>
        <w:gridCol w:w="911"/>
        <w:gridCol w:w="911"/>
      </w:tblGrid>
      <w:tr w:rsidR="00B973DC" w:rsidRPr="00B973DC" w:rsidTr="00B973DC">
        <w:trPr>
          <w:trHeight w:val="288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973DC" w:rsidRPr="00B973DC" w:rsidTr="00B973DC">
        <w:trPr>
          <w:trHeight w:val="76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973DC" w:rsidRPr="00B973DC" w:rsidTr="00B973DC">
        <w:trPr>
          <w:trHeight w:val="251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Tablica 1. Izvještaj o prihodima i rashodima prema ekonomskoj klasifikaciji</w:t>
            </w:r>
          </w:p>
        </w:tc>
      </w:tr>
      <w:tr w:rsidR="00B973DC" w:rsidRPr="00B973DC" w:rsidTr="00B973DC">
        <w:trPr>
          <w:trHeight w:val="13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973DC" w:rsidRPr="00B973DC" w:rsidTr="00B973DC">
        <w:trPr>
          <w:trHeight w:val="789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 računa prihoda i rashoda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01.01.-31.12.'24.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01.01.-31.12.'25.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%</w:t>
            </w:r>
          </w:p>
        </w:tc>
      </w:tr>
      <w:tr w:rsidR="00B973DC" w:rsidRPr="00B973DC" w:rsidTr="00B973DC">
        <w:trPr>
          <w:trHeight w:val="451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B973DC" w:rsidRPr="00B973DC" w:rsidTr="00B973DC">
        <w:trPr>
          <w:trHeight w:val="31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4.576.790,68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4.279.511,00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4.279.511,00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4.375.473,43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95,6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102,2</w:t>
            </w:r>
          </w:p>
        </w:tc>
      </w:tr>
      <w:tr w:rsidR="00B973DC" w:rsidRPr="00B973DC" w:rsidTr="00B973DC">
        <w:trPr>
          <w:trHeight w:val="31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94,8</w:t>
            </w:r>
          </w:p>
        </w:tc>
      </w:tr>
      <w:tr w:rsidR="00B973DC" w:rsidRPr="00B973DC" w:rsidTr="00B973DC">
        <w:trPr>
          <w:trHeight w:val="526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526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0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5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1.271,01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3.185,47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127,4</w:t>
            </w:r>
          </w:p>
        </w:tc>
      </w:tr>
      <w:tr w:rsidR="00B973DC" w:rsidRPr="00B973DC" w:rsidTr="00B973DC">
        <w:trPr>
          <w:trHeight w:val="25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641 Prihodi od 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1.271,01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3.185,47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6413 Kamate na oročena sredstva i depozite po viđenju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1.271,01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3.185,47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0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511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2.520.236,57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2.816.714,00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2.816.714,00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2.894.103,63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102,7</w:t>
            </w:r>
          </w:p>
        </w:tc>
      </w:tr>
      <w:tr w:rsidR="00B973DC" w:rsidRPr="00B973DC" w:rsidTr="00B973DC">
        <w:trPr>
          <w:trHeight w:val="25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2.520.236,57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2.894.103,63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5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6526 Ostali nespomenuti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2.520.236,57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2.894.103,63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114,8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151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526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84.607,59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40.596,00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40.596,00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59.070,37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145,5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661 Prihodi od prodaje proizvoda i robe te pruženih usluga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41.864,15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42.438,72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101,4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6615 Prihodi od pruženih usluga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41.864,15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42.438,72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526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663 Donacije od pravnih i fizičkih osoba izvan općeg proračuna i povrat donacija po protestiranim jamstvima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42.743,44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16.631,65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5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6631 Tekuće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39.555,94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11.995,99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6632 Kapitalne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3.187,50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4.635,66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145,4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07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8A78AB">
        <w:trPr>
          <w:trHeight w:val="491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1.960.195,51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1.408.486,00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1.408.486,00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1.408.439,40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8A78AB" w:rsidRPr="00B973DC" w:rsidTr="008A78AB">
        <w:trPr>
          <w:trHeight w:val="1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973DC" w:rsidRPr="00B973DC" w:rsidTr="00B973DC">
        <w:trPr>
          <w:trHeight w:val="511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1.960.195,51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1.408.439,40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5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1.724.029,83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1.283.357,43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74,4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511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236.165,68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17.216,09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511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6714 Prihodi iz nadležnog proračuna za financiranje izdataka za financijsku imovinu i otplatu zajmova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5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5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734,56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5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683 Ostali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734,56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5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6831 Ostali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734,56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0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99,9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99,9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723 Prihodi od prodaje prijevoznih sredstava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7231 Prijevozna sredstva u cestovnom prometu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4.576.790,68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4.281.367,00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4.281.367,00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4.377.328,43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102,2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4.176.070,10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4.146.894,00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4.146.894,00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4.263.568,45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102,1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102,8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2.964.956,78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2.981.304,00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2.981.304,00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3.186.717,71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106,9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2.459.300,75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2.626.102,35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2.458.223,67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2.624.878,13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3112 Plaće u naravi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1.077,08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1.224,22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127.740,58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152.023,60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119,0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127.740,58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152.023,60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119,0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377.915,45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408.591,76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108,1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6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377.915,45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408.591,76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108,1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151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1.194.689,06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1.149.705,00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1.149.705,00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1.061.163,96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92,3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120.863,08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122.145,97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101,1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282,00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120.533,08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118.850,99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3.012,98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5.021,6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748.928,71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683.660,00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72.891,35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56.171,87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462.971,72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411.939,77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192.912,98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188.553,79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8A78AB">
        <w:trPr>
          <w:trHeight w:val="251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8.038,81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6.232,99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A78AB" w:rsidRPr="00B973DC" w:rsidTr="008A78AB">
        <w:trPr>
          <w:trHeight w:val="2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5.735,98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8.379,84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146,1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6.377,87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12.381,74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194,1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299.785,73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231.252,44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8.447,63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8.934,42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136.051,29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56.353,85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8.806,07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9.328,36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119.847,12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124.692,41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4.814,40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4.189,46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5.153,41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8.692,77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168,7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6.665,55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6.998,04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250,26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2.363,13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944,3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25.111,54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24.105,55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8.973,27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8.813,86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7.420,43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8.088,18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109,0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5.163,63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2.915,00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73,86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3.480,35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4.288,51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123,2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151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13.704,16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10.885,00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10.885,00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12.672,76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116,4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342 Kamate za primljene kredite i zajmove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7.598,16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6.777,99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526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3422 Kamate za primljene kredite i zajmove od kreditnih i ostalih fin. institucija u javnom sektoru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4.498,56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4.084,42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90,8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526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3423 Kamate za primljene kredite i zajmove od kreditnih i ostalih fin. institucija izvan javnog sektora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3.099,60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2.693,57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6.106,00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5.894,77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4.735,98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5.157,80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108,9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1.370,02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736,97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526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2.720,10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3.014,02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110,8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60,3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2.720,10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3.014,02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110,8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1.659,00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1.639,62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1.061,10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1.374,40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129,5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0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243.919,61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59.194,00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59.194,00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32.563,91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13,4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55,0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162.659,67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412 Nematerijalna imovina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162.659,67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4124 Ostala prava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162.659,67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8A78AB">
        <w:trPr>
          <w:trHeight w:val="251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81.259,94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59.194,00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59.194,00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32.563,91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55,0</w:t>
            </w:r>
          </w:p>
        </w:tc>
      </w:tr>
      <w:tr w:rsidR="008A78AB" w:rsidRPr="00B973DC" w:rsidTr="008A78AB">
        <w:trPr>
          <w:trHeight w:val="2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52.759,93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29.783,55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1.287,75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4.426,40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343,7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889,53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3.082,21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346,5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769,00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50.582,65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21.505,94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423 Prijevozna sredstva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28.500,01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4231 Prijevozna sredstva u cestovnom prometu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424 Knjige, umjetnička djela i ostale izložbene vrijednosti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1.092,86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4242 Umjetnička djela (izložena u galerijama, muzejima i slično)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1.092,86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426 Nematerijalna proizvedena imovina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1.687,50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4262 Ulaganja u računalne programe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1.687,50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04"/>
        </w:trPr>
        <w:tc>
          <w:tcPr>
            <w:tcW w:w="6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RASHODI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4.419.989,71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4.206.088,00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4.206.088,00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4.296.132,36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102,1</w:t>
            </w:r>
          </w:p>
        </w:tc>
      </w:tr>
    </w:tbl>
    <w:p w:rsidR="00A567A1" w:rsidRDefault="00A567A1" w:rsidP="00437A4C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060" w:type="dxa"/>
        <w:tblInd w:w="93" w:type="dxa"/>
        <w:tblLook w:val="04A0" w:firstRow="1" w:lastRow="0" w:firstColumn="1" w:lastColumn="0" w:noHBand="0" w:noVBand="1"/>
      </w:tblPr>
      <w:tblGrid>
        <w:gridCol w:w="5880"/>
        <w:gridCol w:w="1700"/>
        <w:gridCol w:w="1600"/>
        <w:gridCol w:w="1580"/>
        <w:gridCol w:w="1620"/>
        <w:gridCol w:w="911"/>
        <w:gridCol w:w="911"/>
      </w:tblGrid>
      <w:tr w:rsidR="00B973DC" w:rsidRPr="00B973DC" w:rsidTr="00B973DC">
        <w:trPr>
          <w:trHeight w:val="313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Tablica 2. Izvještaj o prihodima i rashodima prema izvorima financiranja</w:t>
            </w:r>
          </w:p>
        </w:tc>
      </w:tr>
      <w:tr w:rsidR="00B973DC" w:rsidRPr="00B973DC" w:rsidTr="00B973DC">
        <w:trPr>
          <w:trHeight w:val="107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973DC" w:rsidRPr="00B973DC" w:rsidTr="00B973DC">
        <w:trPr>
          <w:trHeight w:val="839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 izvora financiranja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01.01.-31.12.'24.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01.01.-31.12.'25.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%</w:t>
            </w:r>
          </w:p>
        </w:tc>
      </w:tr>
      <w:tr w:rsidR="00B973DC" w:rsidRPr="00B973DC" w:rsidTr="00B973DC">
        <w:trPr>
          <w:trHeight w:val="451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PRIHODI PO IZVORIMA FINANCIRANJA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31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1 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625.612,71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582.956,00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582.956,00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582.947,87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93,2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B973DC" w:rsidRPr="00B973DC" w:rsidTr="00B973DC">
        <w:trPr>
          <w:trHeight w:val="31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625.612,71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582.956,00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582.956,00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582.947,87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93,2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3 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41.864,15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38.735,00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38.735,00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43.173,28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103,1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111,5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31 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41.864,15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38.735,00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38.735,00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43.173,28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111,5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4 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3.766.077,48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3.643.030,00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3.643.030,00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3.721.067,02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98,8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102,1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43 Ostali 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2.501.494,68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2.817.500,00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2.817.500,00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2.895.575,49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115,8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102,8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44 Decentralizirana sredstva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1.264.582,80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825.530,00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825.530,00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825.491,53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65,3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B973DC" w:rsidRPr="00B973DC" w:rsidTr="00B973DC">
        <w:trPr>
          <w:trHeight w:val="26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5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80.480,00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94,8</w:t>
            </w:r>
          </w:p>
        </w:tc>
      </w:tr>
      <w:tr w:rsidR="00B973DC" w:rsidRPr="00B973DC" w:rsidTr="00B973DC">
        <w:trPr>
          <w:trHeight w:val="26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52 Ostale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80.480,00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94,8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6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42.743,44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16.631,65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38,9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640,7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61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41.373,44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16.631,65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40,2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640,7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62 Inozemne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1.370,00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526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7 PRIHODI OD NEFIN. IMOVINE I NADOKNADE ŠTETA S OSNOVA OSIGURANJA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20.012,90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3.570,00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3.570,00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3.568,61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71 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99,9</w:t>
            </w:r>
          </w:p>
        </w:tc>
      </w:tr>
      <w:tr w:rsidR="00B973DC" w:rsidRPr="00B973DC" w:rsidTr="008A78AB">
        <w:trPr>
          <w:trHeight w:val="251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72 Prihodi od nadoknade šteta s osnova osiguranja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20.012,90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1.713,61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8A78AB" w:rsidRPr="00B973DC" w:rsidTr="008A78AB">
        <w:trPr>
          <w:trHeight w:val="2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A78AB" w:rsidRPr="00B973DC" w:rsidRDefault="008A78AB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4.576.790,68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4.281.367,00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4.281.367,00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4.377.328,43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95,6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102,2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RASHODI PO IZVORIMA FINANCIRANJA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1 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517.746,83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475.089,00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475.089,00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475.081,99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91,8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B973DC" w:rsidRPr="00B973DC" w:rsidTr="00B973DC">
        <w:trPr>
          <w:trHeight w:val="26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517.746,83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475.089,00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475.089,00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475.081,99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91,8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3 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21.859,64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58.984,00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58.984,00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26.315,77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44,6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31 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21.859,64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58.984,00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58.984,00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26.315,77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44,6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4 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3.737.146,90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3.655.369,00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3.655.369,00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3.764.594,34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103,0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43 Ostali 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2.472.564,10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2.829.839,00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2.829.839,00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2.939.102,81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118,9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103,9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44 Decentralizirana sredstva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1.264.582,80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825.530,00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825.530,00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825.491,53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65,3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B973DC" w:rsidRPr="00B973DC" w:rsidTr="00B973DC">
        <w:trPr>
          <w:trHeight w:val="26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5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80.480,00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94,8</w:t>
            </w:r>
          </w:p>
        </w:tc>
      </w:tr>
      <w:tr w:rsidR="00B973DC" w:rsidRPr="00B973DC" w:rsidTr="00B973DC">
        <w:trPr>
          <w:trHeight w:val="26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52 Ostale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80.480,00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94,8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6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42.743,44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16.631,65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38,9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640,7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61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41.373,44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16.631,65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40,2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640,7</w:t>
            </w:r>
          </w:p>
        </w:tc>
      </w:tr>
      <w:tr w:rsidR="00B973DC" w:rsidRPr="00B973DC" w:rsidTr="00B973DC">
        <w:trPr>
          <w:trHeight w:val="254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62 Inozemne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1.370,00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B973DC">
        <w:trPr>
          <w:trHeight w:val="526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7 PRIHODI OD NEFIN. IMOVINE I NADOKNADE ŠTETA S OSNOVA OSIGURANJA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20.012,90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3.570,00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3.570,00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3.568,61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B973DC" w:rsidRPr="00B973DC" w:rsidTr="00B973DC">
        <w:trPr>
          <w:trHeight w:val="26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71 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99,9</w:t>
            </w:r>
          </w:p>
        </w:tc>
      </w:tr>
      <w:tr w:rsidR="00B973DC" w:rsidRPr="00B973DC" w:rsidTr="00B973DC">
        <w:trPr>
          <w:trHeight w:val="26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72 Prihodi od nadoknade šteta s osnova osiguranja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20.012,90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1.714,00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1.714,00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1.713,61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8,6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B973DC" w:rsidRPr="00B973DC" w:rsidTr="00B973DC">
        <w:trPr>
          <w:trHeight w:val="26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B973DC">
        <w:trPr>
          <w:trHeight w:val="26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RASHODI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4.419.989,71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4.206.088,00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4.206.088,00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4.296.132,36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102,1</w:t>
            </w:r>
          </w:p>
        </w:tc>
      </w:tr>
    </w:tbl>
    <w:p w:rsidR="00F6254E" w:rsidRDefault="00F6254E" w:rsidP="00A567A1">
      <w:pPr>
        <w:spacing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079" w:type="dxa"/>
        <w:tblInd w:w="93" w:type="dxa"/>
        <w:tblLook w:val="04A0" w:firstRow="1" w:lastRow="0" w:firstColumn="1" w:lastColumn="0" w:noHBand="0" w:noVBand="1"/>
      </w:tblPr>
      <w:tblGrid>
        <w:gridCol w:w="5260"/>
        <w:gridCol w:w="1100"/>
        <w:gridCol w:w="57"/>
        <w:gridCol w:w="969"/>
        <w:gridCol w:w="894"/>
        <w:gridCol w:w="164"/>
        <w:gridCol w:w="360"/>
        <w:gridCol w:w="656"/>
        <w:gridCol w:w="302"/>
        <w:gridCol w:w="459"/>
        <w:gridCol w:w="419"/>
        <w:gridCol w:w="479"/>
        <w:gridCol w:w="1181"/>
        <w:gridCol w:w="55"/>
        <w:gridCol w:w="856"/>
        <w:gridCol w:w="179"/>
        <w:gridCol w:w="28"/>
        <w:gridCol w:w="705"/>
        <w:gridCol w:w="308"/>
        <w:gridCol w:w="911"/>
      </w:tblGrid>
      <w:tr w:rsidR="00B973DC" w:rsidRPr="00B973DC" w:rsidTr="00745D89">
        <w:trPr>
          <w:gridAfter w:val="1"/>
          <w:wAfter w:w="911" w:type="dxa"/>
          <w:trHeight w:val="270"/>
        </w:trPr>
        <w:tc>
          <w:tcPr>
            <w:tcW w:w="14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1" w:name="RANGE!A1:G12"/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Tablica 3. Izvještaj o rashodima prema funkcijskoj klasifikaciji</w:t>
            </w:r>
            <w:bookmarkEnd w:id="1"/>
          </w:p>
        </w:tc>
      </w:tr>
      <w:tr w:rsidR="00B973DC" w:rsidRPr="00B973DC" w:rsidTr="00745D89">
        <w:trPr>
          <w:gridAfter w:val="1"/>
          <w:wAfter w:w="911" w:type="dxa"/>
          <w:trHeight w:val="76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973DC" w:rsidRPr="00B973DC" w:rsidTr="00745D89">
        <w:trPr>
          <w:gridAfter w:val="1"/>
          <w:wAfter w:w="911" w:type="dxa"/>
          <w:trHeight w:val="78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 funkcijske klasifikacije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01.01.-31.12.'24.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01.01.-31.12.'25.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%</w:t>
            </w:r>
          </w:p>
        </w:tc>
      </w:tr>
      <w:tr w:rsidR="00B973DC" w:rsidRPr="00B973DC" w:rsidTr="00745D89">
        <w:trPr>
          <w:gridAfter w:val="1"/>
          <w:wAfter w:w="911" w:type="dxa"/>
          <w:trHeight w:val="166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B973DC" w:rsidRPr="00B973DC" w:rsidTr="00745D89">
        <w:trPr>
          <w:gridAfter w:val="1"/>
          <w:wAfter w:w="911" w:type="dxa"/>
          <w:trHeight w:val="254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RASHODI PREMA FUNKCIJSKOJ KLASIFIKACIJI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745D89">
        <w:trPr>
          <w:gridAfter w:val="1"/>
          <w:wAfter w:w="911" w:type="dxa"/>
          <w:trHeight w:val="263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Funk. klas: 10 Socijalna zaštita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4.419.989,71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4.206.088,00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4.206.088,00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4.296.132,36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97,2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102,1</w:t>
            </w:r>
          </w:p>
        </w:tc>
      </w:tr>
      <w:tr w:rsidR="00B973DC" w:rsidRPr="00B973DC" w:rsidTr="00745D89">
        <w:trPr>
          <w:gridAfter w:val="1"/>
          <w:wAfter w:w="911" w:type="dxa"/>
          <w:trHeight w:val="254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 Starost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4.391.489,70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4.206.088,00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4.206.088,00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4.296.132,36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97,8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102,1</w:t>
            </w:r>
          </w:p>
        </w:tc>
      </w:tr>
      <w:tr w:rsidR="00B973DC" w:rsidRPr="00B973DC" w:rsidTr="00745D89">
        <w:trPr>
          <w:gridAfter w:val="1"/>
          <w:wAfter w:w="911" w:type="dxa"/>
          <w:trHeight w:val="254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 Stanovanje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745D89">
        <w:trPr>
          <w:gridAfter w:val="1"/>
          <w:wAfter w:w="911" w:type="dxa"/>
          <w:trHeight w:val="526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745D89">
        <w:trPr>
          <w:gridAfter w:val="1"/>
          <w:wAfter w:w="911" w:type="dxa"/>
          <w:trHeight w:val="254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109 Aktivnosti socijalne zaštite koje nisu drugdje svrstane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973DC" w:rsidRPr="00B973DC" w:rsidTr="00745D89">
        <w:trPr>
          <w:gridAfter w:val="1"/>
          <w:wAfter w:w="911" w:type="dxa"/>
          <w:trHeight w:val="135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73DC" w:rsidRPr="00B973DC" w:rsidTr="00745D89">
        <w:trPr>
          <w:gridAfter w:val="1"/>
          <w:wAfter w:w="911" w:type="dxa"/>
          <w:trHeight w:val="25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 RASHODI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4.419.989,71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4.206.088,00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4.206.088,00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4.296.132,36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97,2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B973DC" w:rsidRPr="00B973DC" w:rsidRDefault="00B973DC" w:rsidP="00B9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973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102,1</w:t>
            </w:r>
          </w:p>
        </w:tc>
      </w:tr>
      <w:tr w:rsidR="00421EBF" w:rsidRPr="00421EBF" w:rsidTr="00745D89">
        <w:trPr>
          <w:trHeight w:val="313"/>
        </w:trPr>
        <w:tc>
          <w:tcPr>
            <w:tcW w:w="6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Default="00745D89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745D89" w:rsidRDefault="00745D89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421EBF" w:rsidRPr="00421EBF" w:rsidRDefault="00421EBF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1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B. RAČUN FINANCIRANJA</w:t>
            </w: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21EBF" w:rsidRPr="00421EBF" w:rsidTr="00745D89">
        <w:trPr>
          <w:trHeight w:val="113"/>
        </w:trPr>
        <w:tc>
          <w:tcPr>
            <w:tcW w:w="6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21EBF" w:rsidRPr="00421EBF" w:rsidTr="00745D89">
        <w:trPr>
          <w:trHeight w:val="313"/>
        </w:trPr>
        <w:tc>
          <w:tcPr>
            <w:tcW w:w="1507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1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Tablica 4. Izvještaj računa financiranja prema ekonomskoj klasifikaciji</w:t>
            </w:r>
          </w:p>
        </w:tc>
      </w:tr>
      <w:tr w:rsidR="00421EBF" w:rsidRPr="00421EBF" w:rsidTr="00745D89">
        <w:trPr>
          <w:trHeight w:val="254"/>
        </w:trPr>
        <w:tc>
          <w:tcPr>
            <w:tcW w:w="6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BF" w:rsidRPr="00421EBF" w:rsidRDefault="00421EBF" w:rsidP="00421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45D89" w:rsidRPr="00745D89" w:rsidTr="00745D89">
        <w:trPr>
          <w:gridAfter w:val="2"/>
          <w:wAfter w:w="1219" w:type="dxa"/>
          <w:trHeight w:val="789"/>
        </w:trPr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 računa primitaka i izdataka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01.01.-31.12.'24.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01.01.-31.12.'25.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%</w:t>
            </w:r>
          </w:p>
        </w:tc>
      </w:tr>
      <w:tr w:rsidR="00745D89" w:rsidRPr="00745D89" w:rsidTr="00745D89">
        <w:trPr>
          <w:gridAfter w:val="2"/>
          <w:wAfter w:w="1219" w:type="dxa"/>
          <w:trHeight w:val="285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745D89" w:rsidRPr="00745D89" w:rsidTr="00745D89">
        <w:trPr>
          <w:gridAfter w:val="2"/>
          <w:wAfter w:w="1219" w:type="dxa"/>
          <w:trHeight w:val="263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gridAfter w:val="2"/>
          <w:wAfter w:w="1219" w:type="dxa"/>
          <w:trHeight w:val="313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 Primici od zaduživanja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gridAfter w:val="2"/>
          <w:wAfter w:w="1219" w:type="dxa"/>
          <w:trHeight w:val="526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842 Primljeni krediti i zajmovi od kreditnih i ostalih financijskih institucija u javnom sektoru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gridAfter w:val="2"/>
          <w:wAfter w:w="1219" w:type="dxa"/>
          <w:trHeight w:val="254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8422 Primljeni krediti od kreditnih institucija u javnom sektoru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gridAfter w:val="2"/>
          <w:wAfter w:w="1219" w:type="dxa"/>
          <w:trHeight w:val="511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gridAfter w:val="2"/>
          <w:wAfter w:w="1219" w:type="dxa"/>
          <w:trHeight w:val="511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8443 Primljeni krediti od tuzemnih kreditnih institucija izvan javnog sektora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gridAfter w:val="2"/>
          <w:wAfter w:w="1219" w:type="dxa"/>
          <w:trHeight w:val="135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gridAfter w:val="2"/>
          <w:wAfter w:w="1219" w:type="dxa"/>
          <w:trHeight w:val="254"/>
        </w:trPr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PRIMICI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gridAfter w:val="2"/>
          <w:wAfter w:w="1219" w:type="dxa"/>
          <w:trHeight w:val="151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gridAfter w:val="2"/>
          <w:wAfter w:w="1219" w:type="dxa"/>
          <w:trHeight w:val="254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100,0</w:t>
            </w:r>
          </w:p>
        </w:tc>
      </w:tr>
      <w:tr w:rsidR="00745D89" w:rsidRPr="00745D89" w:rsidTr="00745D89">
        <w:trPr>
          <w:gridAfter w:val="2"/>
          <w:wAfter w:w="1219" w:type="dxa"/>
          <w:trHeight w:val="254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745D89" w:rsidRPr="00745D89" w:rsidTr="00745D89">
        <w:trPr>
          <w:gridAfter w:val="2"/>
          <w:wAfter w:w="1219" w:type="dxa"/>
          <w:trHeight w:val="511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542 Otplata glavnice primljenih kredita i zajmova od kreditnih i ostalih financijskih institucija u javnom sektoru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82.742,44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82.742,44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gridAfter w:val="2"/>
          <w:wAfter w:w="1219" w:type="dxa"/>
          <w:trHeight w:val="511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5422 Otplata glavnice primljenih kredita od kreditnih institucija u javnom sektoru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82.742,44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82.742,44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gridAfter w:val="2"/>
          <w:wAfter w:w="1219" w:type="dxa"/>
          <w:trHeight w:val="511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25.123,44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25.123,44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gridAfter w:val="2"/>
          <w:wAfter w:w="1219" w:type="dxa"/>
          <w:trHeight w:val="511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25.123,44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25.123,44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gridAfter w:val="2"/>
          <w:wAfter w:w="1219" w:type="dxa"/>
          <w:trHeight w:val="135"/>
        </w:trPr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gridAfter w:val="2"/>
          <w:wAfter w:w="1219" w:type="dxa"/>
          <w:trHeight w:val="254"/>
        </w:trPr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IZDACI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</w:tbl>
    <w:p w:rsidR="00421EBF" w:rsidRDefault="00421EBF" w:rsidP="00665356">
      <w:pPr>
        <w:spacing w:after="2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55720" w:rsidRDefault="00B55720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45D89" w:rsidRDefault="00745D89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45D89" w:rsidRDefault="00745D89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93" w:type="dxa"/>
        <w:tblLook w:val="04A0" w:firstRow="1" w:lastRow="0" w:firstColumn="1" w:lastColumn="0" w:noHBand="0" w:noVBand="1"/>
      </w:tblPr>
      <w:tblGrid>
        <w:gridCol w:w="5685"/>
        <w:gridCol w:w="2127"/>
        <w:gridCol w:w="1275"/>
        <w:gridCol w:w="1276"/>
        <w:gridCol w:w="2126"/>
        <w:gridCol w:w="911"/>
        <w:gridCol w:w="911"/>
      </w:tblGrid>
      <w:tr w:rsidR="00745D89" w:rsidRPr="00745D89" w:rsidTr="00745D89">
        <w:trPr>
          <w:trHeight w:val="313"/>
        </w:trPr>
        <w:tc>
          <w:tcPr>
            <w:tcW w:w="14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85" w:rsidRDefault="00386085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Tablica 5. Izvještaj računa financiranja prema izvorima financiranja</w:t>
            </w:r>
          </w:p>
        </w:tc>
      </w:tr>
      <w:tr w:rsidR="00745D89" w:rsidRPr="00745D89" w:rsidTr="00745D89">
        <w:trPr>
          <w:trHeight w:val="18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45D89" w:rsidRPr="00745D89" w:rsidTr="00745D89">
        <w:trPr>
          <w:trHeight w:val="78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 izvora financiranja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01.01.-31.12.'25.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%</w:t>
            </w:r>
          </w:p>
        </w:tc>
      </w:tr>
      <w:tr w:rsidR="00745D89" w:rsidRPr="00745D89" w:rsidTr="00745D89">
        <w:trPr>
          <w:trHeight w:val="451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745D89" w:rsidRPr="00745D89" w:rsidTr="00745D89">
        <w:trPr>
          <w:trHeight w:val="376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PRIMICI PO IZVORIMA FINANCIRANJA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trHeight w:val="313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1 OPĆI PRIHODI I PRIMICI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13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254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4 PRIHODI ZA POSEBNE NAMJENE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25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43 Ostali prihodi za posebne namjene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277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8 NAMJENSKI PRIMICI OD ZADUŽIVANJA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263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81 Namjenski primici od zaduživanja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119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trHeight w:val="25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PRIMICI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151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IZDACI PO IZVORIMA FINANCIRANJA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trHeight w:val="263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1 OPĆI PRIHODI I PRIMICI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745D89" w:rsidRPr="00745D89" w:rsidTr="00745D89">
        <w:trPr>
          <w:trHeight w:val="263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745D89" w:rsidRPr="00745D89" w:rsidTr="00745D89">
        <w:trPr>
          <w:trHeight w:val="254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Izvor: 4 PRIHODI ZA POSEBNE NAMJENE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254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43 Ostali prihodi za posebne namjene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254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Izvor: 44 Decentralizirana sredstva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135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trHeight w:val="25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IZDACI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</w:tbl>
    <w:p w:rsidR="00B55720" w:rsidRDefault="00B55720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21EBF" w:rsidRDefault="00421EBF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21EBF" w:rsidRDefault="00421EBF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21EBF" w:rsidRDefault="00421EBF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21EBF" w:rsidRDefault="00421EBF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21EBF" w:rsidRDefault="00421EBF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21EBF" w:rsidRDefault="00421EBF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21EBF" w:rsidRDefault="00421EBF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21EBF" w:rsidRDefault="00421EBF" w:rsidP="000E56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F08A0" w:rsidRPr="00580EF7" w:rsidRDefault="000E568E" w:rsidP="000248C2">
      <w:pPr>
        <w:pStyle w:val="Odlomakpopisa"/>
        <w:numPr>
          <w:ilvl w:val="0"/>
          <w:numId w:val="11"/>
        </w:numPr>
        <w:spacing w:after="120"/>
        <w:ind w:left="709" w:hanging="35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F7">
        <w:rPr>
          <w:rFonts w:ascii="Times New Roman" w:hAnsi="Times New Roman" w:cs="Times New Roman"/>
          <w:b/>
          <w:sz w:val="24"/>
          <w:szCs w:val="24"/>
        </w:rPr>
        <w:t>POSEBNI DIO</w:t>
      </w:r>
    </w:p>
    <w:p w:rsidR="000E568E" w:rsidRDefault="000E568E" w:rsidP="00580EF7">
      <w:pPr>
        <w:pStyle w:val="Odlomakpopisa"/>
        <w:spacing w:after="120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0E568E">
        <w:rPr>
          <w:rFonts w:ascii="Times New Roman" w:hAnsi="Times New Roman" w:cs="Times New Roman"/>
          <w:sz w:val="24"/>
          <w:szCs w:val="24"/>
        </w:rPr>
        <w:t>Članak 3.</w:t>
      </w:r>
    </w:p>
    <w:p w:rsidR="000E568E" w:rsidRDefault="000E568E" w:rsidP="000E568E">
      <w:pPr>
        <w:pStyle w:val="Odlomakpopisa"/>
        <w:spacing w:after="12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745D89" w:rsidRPr="000E568E" w:rsidRDefault="000E568E" w:rsidP="00745D89">
      <w:pPr>
        <w:pStyle w:val="Odlomakpopisa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dio </w:t>
      </w:r>
      <w:r w:rsidR="00AF5EDD">
        <w:rPr>
          <w:rFonts w:ascii="Times New Roman" w:hAnsi="Times New Roman" w:cs="Times New Roman"/>
          <w:sz w:val="24"/>
          <w:szCs w:val="24"/>
        </w:rPr>
        <w:t>G</w:t>
      </w:r>
      <w:r w:rsidR="00AC705D">
        <w:rPr>
          <w:rFonts w:ascii="Times New Roman" w:hAnsi="Times New Roman" w:cs="Times New Roman"/>
          <w:sz w:val="24"/>
          <w:szCs w:val="24"/>
        </w:rPr>
        <w:t>odišnjeg izvještaja o izvršenju</w:t>
      </w:r>
      <w:r w:rsidR="00A56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Financijskog plana</w:t>
      </w:r>
      <w:r w:rsidR="00883356">
        <w:rPr>
          <w:rFonts w:ascii="Times New Roman" w:hAnsi="Times New Roman" w:cs="Times New Roman"/>
          <w:sz w:val="24"/>
          <w:szCs w:val="24"/>
        </w:rPr>
        <w:t xml:space="preserve"> za 2025</w:t>
      </w:r>
      <w:r w:rsidR="00A567A1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sastoji se od</w:t>
      </w:r>
      <w:r w:rsidR="00AC7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rashoda i izdataka iskazanih po organizacijskoj klasifikaciji</w:t>
      </w:r>
      <w:r w:rsidR="00B2305E">
        <w:rPr>
          <w:rFonts w:ascii="Times New Roman" w:hAnsi="Times New Roman" w:cs="Times New Roman"/>
          <w:sz w:val="24"/>
          <w:szCs w:val="24"/>
        </w:rPr>
        <w:t>, izvorima financiranja i ekonomskoj klasifikaciji</w:t>
      </w:r>
      <w:r w:rsidR="00745D89">
        <w:rPr>
          <w:rFonts w:ascii="Times New Roman" w:hAnsi="Times New Roman" w:cs="Times New Roman"/>
          <w:sz w:val="24"/>
          <w:szCs w:val="24"/>
        </w:rPr>
        <w:t>, raspoređeni u program koji se sastoji od aktivnosti i projekata kako slijedi:</w:t>
      </w:r>
    </w:p>
    <w:p w:rsidR="00745D89" w:rsidRDefault="00745D89" w:rsidP="000E568E">
      <w:pPr>
        <w:pStyle w:val="Odlomakpopisa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337" w:type="dxa"/>
        <w:jc w:val="center"/>
        <w:tblInd w:w="93" w:type="dxa"/>
        <w:tblLook w:val="04A0" w:firstRow="1" w:lastRow="0" w:firstColumn="1" w:lastColumn="0" w:noHBand="0" w:noVBand="1"/>
      </w:tblPr>
      <w:tblGrid>
        <w:gridCol w:w="7140"/>
        <w:gridCol w:w="1522"/>
        <w:gridCol w:w="1559"/>
        <w:gridCol w:w="2124"/>
        <w:gridCol w:w="992"/>
      </w:tblGrid>
      <w:tr w:rsidR="00745D89" w:rsidRPr="00745D89" w:rsidTr="00745D89">
        <w:trPr>
          <w:trHeight w:val="313"/>
          <w:jc w:val="center"/>
        </w:trPr>
        <w:tc>
          <w:tcPr>
            <w:tcW w:w="13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Tablica 6. Izvještaj po programskoj klasifikaciji</w:t>
            </w:r>
          </w:p>
        </w:tc>
      </w:tr>
      <w:tr w:rsidR="00745D89" w:rsidRPr="00745D89" w:rsidTr="00745D89">
        <w:trPr>
          <w:trHeight w:val="113"/>
          <w:jc w:val="center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45D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45D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45D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45D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45D8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45D89" w:rsidRPr="00745D89" w:rsidTr="00745D89">
        <w:trPr>
          <w:trHeight w:val="526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 proračunskog korisnika, izvora financiranja, programa, aktivnosti i projekta te računa ekonomske klasifikacije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2025.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 plan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2025.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01.01.-31.12.'25.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% </w:t>
            </w:r>
          </w:p>
        </w:tc>
      </w:tr>
      <w:tr w:rsidR="00745D89" w:rsidRPr="00745D89" w:rsidTr="00745D89">
        <w:trPr>
          <w:trHeight w:val="238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5=4/3*100</w:t>
            </w:r>
          </w:p>
        </w:tc>
      </w:tr>
      <w:tr w:rsidR="00745D89" w:rsidRPr="00745D89" w:rsidTr="00745D89">
        <w:trPr>
          <w:trHeight w:val="138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5D89" w:rsidRPr="00745D89" w:rsidTr="00745D89">
        <w:trPr>
          <w:trHeight w:val="658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Razdjel: 016 UPRAVNI ODJEL ZA ZDRAVSTVO, SOCIJALNU SKRB, CIVILNO DRUŠTVO I HRVATSKE BRANITELJE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4.313.955,00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4.313.955,00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4.403.998,24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102,09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Glava: 01604 SOCIJALNA SKRB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4.313.955,00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4.313.955,00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4.403.998,24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102,09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7874 DOM ZA STARIJE I NEMOĆNE OSOBE VARAŽDIN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4.313.955,00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4.313.955,00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4.403.998,24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102,09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582.956,00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582.956,00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582.947,87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Izvor: 31 Vlastiti prihodi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58.984,00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58.984,00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26.315,77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44,62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Izvor: 43 Ostali prihodi za posebne namjene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2.829.839,00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2.829.839,00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2.939.102,81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103,86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Izvor: 44 Decentralizirana sredstva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825.530,00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825.530,00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825.491,53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Izvor: 52 Ostale pomoći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94,85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Izvor: 61 Donacije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16.631,65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Izvor: 71 Prihodi od nefinancijske imovine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99,95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Izvor: 72 Prihodi od nadoknade šteta s osnova osiguranja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1.714,00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204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Program: 1340 DOM ZA STARIJE I NEMOĆNE OSOBE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4.313.955,00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4.313.955,00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4.403.998,24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102,09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A134001 Stručno i administrativno osoblje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4.164.267,00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4.164.267,00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4.254.357,28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102,16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468.304,00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468.304,00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468.304,00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468.304,00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468.304,00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468.304,00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386.804,00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Izvor: 31 Vlastiti prihodi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58.984,00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58.984,00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26.315,77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44,62</w:t>
            </w:r>
          </w:p>
        </w:tc>
      </w:tr>
      <w:tr w:rsidR="00745D89" w:rsidRPr="00745D89" w:rsidTr="008A78AB">
        <w:trPr>
          <w:trHeight w:val="282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18.735,00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18.735,00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17.458,61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93,19</w:t>
            </w:r>
          </w:p>
        </w:tc>
      </w:tr>
      <w:tr w:rsidR="008A78AB" w:rsidRPr="00745D89" w:rsidTr="008A78AB">
        <w:trPr>
          <w:trHeight w:val="10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745D89" w:rsidRDefault="008A78AB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745D89" w:rsidRDefault="008A78AB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745D89" w:rsidRDefault="008A78AB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745D89" w:rsidRDefault="008A78AB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A78AB" w:rsidRPr="00745D89" w:rsidRDefault="008A78AB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6.870,91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1.773,84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8.813,86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40.249,00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40.249,00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8.857,16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22,01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4.426,40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455,86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2.287,40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4262 Ulaganja u računalne programe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1.687,50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Izvor: 43 Ostali prihodi za posebne namjene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2.829.839,00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2.829.839,00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2.939.102,81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103,86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1.720.650,00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1.720.650,00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1.926.064,27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111,94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1.552.837,13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3112 Plaće u naravi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1.224,22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152.023,60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219.979,32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1.100.089,00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1.100.089,00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1.004.129,75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91,28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118.850,99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3.012,98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49.065,13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405.373,92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174.542,88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6.232,99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7.256,44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12.381,74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8.934,42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38.714,24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9.328,36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122.918,57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4.189,46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8.692,77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6.998,04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2.363,13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8A78AB">
        <w:trPr>
          <w:trHeight w:val="313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8.088,18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8A78AB" w:rsidRPr="00745D89" w:rsidTr="008A78AB">
        <w:trPr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745D89" w:rsidRDefault="008A78AB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745D89" w:rsidRDefault="008A78AB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A78AB" w:rsidRPr="00745D89" w:rsidRDefault="008A78AB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78AB" w:rsidRPr="00745D89" w:rsidRDefault="008A78AB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78AB" w:rsidRPr="00745D89" w:rsidRDefault="008A78AB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2.915,00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4.288,51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5.894,77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143,77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5.157,80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736,97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3.014,02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60,28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1.639,62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1.374,40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Izvor: 44 Decentralizirana sredstva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792.350,00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792.350,00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792.349,44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792.350,00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792.350,00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792.349,44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685.237,00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107.112,44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Izvor: 52 Ostale pomoći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94,85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10.480,00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94,85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7.140,00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Izvor: 61 Donacije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16.631,65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640,66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2.596,00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11.995,99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462,10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7.106,74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3.765,85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1.123,40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4.635,66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3.392,80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4242 Umjetnička djela (izložena u galerijama, muzejima i slično)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1.092,86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Izvor: 72 Prihodi od nadoknade šteta s osnova osiguranja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1.714,00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1.713,61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1.714,00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1.713,61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1.713,61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A134002 Otplata kredita za Energetsku obnovu Doma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114.652,00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114.652,00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114.643,87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99,99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114.652,00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114.652,00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114.643,87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99,99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6.785,00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6.785,00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6.777,99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99,90</w:t>
            </w:r>
          </w:p>
        </w:tc>
      </w:tr>
      <w:tr w:rsidR="00745D89" w:rsidRPr="00745D89" w:rsidTr="008A78AB">
        <w:trPr>
          <w:trHeight w:val="512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3422 Kamate za primljene kredite i zajmove od kreditnih i ostalih fin. institucija u javnom sektoru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4.084,42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8A78AB">
        <w:trPr>
          <w:trHeight w:val="539"/>
          <w:jc w:val="center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3423 Kamate za primljene kredite i zajmove od kreditnih i ostalih fin. institucija izvan javnog sektora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2.693,57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107.867,00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107.865,88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45D89" w:rsidRPr="00745D89" w:rsidTr="00745D89">
        <w:trPr>
          <w:trHeight w:val="285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5422 Otplata glavnice primljenih kredita od kreditnih institucija u javnom sektoru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82.742,44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539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25.123,44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K134001 Održavanje objekata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35.036,00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35.036,00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34.997,09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DD8E6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99,89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Izvor: 44 Decentralizirana sredstva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33.180,00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33.142,09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99,89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15.926,00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15.926,00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15.926,00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15.926,00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17.216,09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99,78</w:t>
            </w:r>
          </w:p>
        </w:tc>
      </w:tr>
      <w:tr w:rsidR="00745D89" w:rsidRPr="00745D89" w:rsidTr="008A78AB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621,35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8A78AB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769,00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8A78AB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15.825,74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Izvor: 71 Prihodi od nefinancijske imovine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1.856,00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99,95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1.691,00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1.691,00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109,70</w:t>
            </w:r>
          </w:p>
        </w:tc>
      </w:tr>
      <w:tr w:rsidR="00745D89" w:rsidRPr="00745D89" w:rsidTr="00745D89">
        <w:trPr>
          <w:trHeight w:val="301"/>
          <w:jc w:val="center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D89" w:rsidRPr="00745D89" w:rsidRDefault="00745D89" w:rsidP="0074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</w:tbl>
    <w:p w:rsidR="00FB4269" w:rsidRPr="004253AA" w:rsidRDefault="00FB4269" w:rsidP="004253AA">
      <w:pPr>
        <w:pStyle w:val="Odlomakpopisa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B4269" w:rsidRPr="004253AA" w:rsidSect="00F626E9">
          <w:pgSz w:w="16838" w:h="11906" w:orient="landscape" w:code="9"/>
          <w:pgMar w:top="709" w:right="1387" w:bottom="567" w:left="1134" w:header="709" w:footer="709" w:gutter="0"/>
          <w:cols w:space="708"/>
          <w:docGrid w:linePitch="360"/>
        </w:sect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D664E0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lastRenderedPageBreak/>
        <w:t>DOM ZA STARIJE I NEMOĆNE</w:t>
      </w: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D664E0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OSOBE VARAŽDIN</w:t>
      </w: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D664E0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 </w:t>
      </w: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D664E0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OBRAZLOŽENJE OPĆEG DIJELA </w:t>
      </w: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D664E0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 POSEBNI IZVJEŠTAJI</w:t>
      </w: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D664E0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GODIŠNJEG IZVJEŠTAJA O IZVRŠENJU</w:t>
      </w: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D664E0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 FINANCIJSKOG PLANA</w:t>
      </w:r>
    </w:p>
    <w:p w:rsidR="00D664E0" w:rsidRPr="00D664E0" w:rsidRDefault="00883356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ZA 2025</w:t>
      </w:r>
      <w:r w:rsidR="00D664E0" w:rsidRPr="00D664E0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. GODINU</w:t>
      </w:r>
    </w:p>
    <w:p w:rsidR="00D664E0" w:rsidRPr="00D664E0" w:rsidRDefault="00D664E0" w:rsidP="00D664E0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D664E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5B419F" w:rsidRDefault="00D664E0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5B419F" w:rsidRPr="005B419F" w:rsidRDefault="005B419F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5B419F" w:rsidRPr="005B419F" w:rsidRDefault="005B419F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5B419F" w:rsidRPr="005B419F" w:rsidRDefault="005B419F" w:rsidP="00D6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D664E0" w:rsidP="003E15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D664E0" w:rsidRPr="00D664E0" w:rsidRDefault="00883356" w:rsidP="00D664E0">
      <w:pPr>
        <w:spacing w:after="0" w:line="240" w:lineRule="auto"/>
        <w:jc w:val="center"/>
        <w:rPr>
          <w:rFonts w:ascii="Arial" w:eastAsia="Times New Roman" w:hAnsi="Arial" w:cs="Arial"/>
          <w:color w:val="333399"/>
          <w:sz w:val="24"/>
          <w:szCs w:val="24"/>
        </w:rPr>
        <w:sectPr w:rsidR="00D664E0" w:rsidRPr="00D664E0" w:rsidSect="00FF4BBF">
          <w:footerReference w:type="default" r:id="rId10"/>
          <w:footerReference w:type="first" r:id="rId11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Varaždin, 2026</w:t>
      </w:r>
      <w:r w:rsidR="00244B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64E0" w:rsidRPr="00D664E0" w:rsidRDefault="00D664E0" w:rsidP="00D664E0">
      <w:pPr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</w:pPr>
      <w:bookmarkStart w:id="2" w:name="_Toc159483630"/>
      <w:r w:rsidRPr="00D664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  <w:lastRenderedPageBreak/>
        <w:t>U V O D</w:t>
      </w:r>
      <w:bookmarkEnd w:id="2"/>
    </w:p>
    <w:p w:rsidR="00D664E0" w:rsidRPr="00D664E0" w:rsidRDefault="00D664E0" w:rsidP="00D664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664E0" w:rsidRPr="00E405DC" w:rsidRDefault="00D664E0" w:rsidP="005B41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5DC">
        <w:rPr>
          <w:rFonts w:ascii="Times New Roman" w:eastAsia="Times New Roman" w:hAnsi="Times New Roman" w:cs="Times New Roman"/>
          <w:sz w:val="24"/>
          <w:szCs w:val="24"/>
        </w:rPr>
        <w:t>Sadržaj godišnjeg izvještaja o izvršenju financijskog plana propisan je Pravilnikom o polugodišnjem i godišnjem izvještaju o izvršenju proračuna i financijskog plana (Narodne novine br. 85/23), a osnovna svrha ovog izvještaja je dati informacije o:</w:t>
      </w:r>
    </w:p>
    <w:p w:rsidR="00D664E0" w:rsidRPr="00E405DC" w:rsidRDefault="00D664E0" w:rsidP="005B419F">
      <w:pPr>
        <w:numPr>
          <w:ilvl w:val="0"/>
          <w:numId w:val="17"/>
        </w:numPr>
        <w:spacing w:after="60"/>
        <w:ind w:left="5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5DC">
        <w:rPr>
          <w:rFonts w:ascii="Times New Roman" w:eastAsia="Times New Roman" w:hAnsi="Times New Roman" w:cs="Times New Roman"/>
          <w:sz w:val="24"/>
          <w:szCs w:val="24"/>
        </w:rPr>
        <w:t>planiranim i ostvarenim/izvršenim prihodima i primicima/rashodima i izdacima,</w:t>
      </w:r>
    </w:p>
    <w:p w:rsidR="00D664E0" w:rsidRPr="00E405DC" w:rsidRDefault="00D664E0" w:rsidP="005B419F">
      <w:pPr>
        <w:numPr>
          <w:ilvl w:val="0"/>
          <w:numId w:val="17"/>
        </w:numPr>
        <w:spacing w:after="120"/>
        <w:ind w:left="5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5DC">
        <w:rPr>
          <w:rFonts w:ascii="Times New Roman" w:eastAsia="Times New Roman" w:hAnsi="Times New Roman" w:cs="Times New Roman"/>
          <w:sz w:val="24"/>
          <w:szCs w:val="24"/>
        </w:rPr>
        <w:t>prenesenom manjku odnosno višku iz prethodne godine i viška odnosno manjka za prijenos u slijedeću godinu.</w:t>
      </w:r>
    </w:p>
    <w:p w:rsidR="00D664E0" w:rsidRPr="00E405DC" w:rsidRDefault="00D664E0" w:rsidP="003C48C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5DC">
        <w:rPr>
          <w:rFonts w:ascii="Times New Roman" w:eastAsia="Times New Roman" w:hAnsi="Times New Roman" w:cs="Times New Roman"/>
          <w:sz w:val="24"/>
          <w:szCs w:val="24"/>
        </w:rPr>
        <w:t>Sukladno navedenom, sadržaj godišnjeg izvještaja o izvršenju financijskog plana, osim prikaza ukupno ostvarenih prihoda i primitaka te izvršenih rashoda i izdataka na razini odjeljka ekonomske klasifikacije i prema izvorima financiranja te rashoda po funkcijskoj klasifikaciji (</w:t>
      </w:r>
      <w:r w:rsidRPr="00E405DC">
        <w:rPr>
          <w:rFonts w:ascii="Times New Roman" w:eastAsia="Times New Roman" w:hAnsi="Times New Roman" w:cs="Times New Roman"/>
          <w:b/>
          <w:bCs/>
          <w:sz w:val="24"/>
          <w:szCs w:val="24"/>
        </w:rPr>
        <w:t>Opći dio</w:t>
      </w:r>
      <w:r w:rsidRPr="00E405DC">
        <w:rPr>
          <w:rFonts w:ascii="Times New Roman" w:eastAsia="Times New Roman" w:hAnsi="Times New Roman" w:cs="Times New Roman"/>
          <w:sz w:val="24"/>
          <w:szCs w:val="24"/>
        </w:rPr>
        <w:t xml:space="preserve">), uključujući njihovu raspodjelu po programskoj klasifikaciji u </w:t>
      </w:r>
      <w:r w:rsidRPr="00E405DC">
        <w:rPr>
          <w:rFonts w:ascii="Times New Roman" w:eastAsia="Times New Roman" w:hAnsi="Times New Roman" w:cs="Times New Roman"/>
          <w:b/>
          <w:bCs/>
          <w:sz w:val="24"/>
          <w:szCs w:val="24"/>
        </w:rPr>
        <w:t>Posebnom dijelu</w:t>
      </w:r>
      <w:r w:rsidRPr="00E405DC">
        <w:rPr>
          <w:rFonts w:ascii="Times New Roman" w:eastAsia="Times New Roman" w:hAnsi="Times New Roman" w:cs="Times New Roman"/>
          <w:sz w:val="24"/>
          <w:szCs w:val="24"/>
        </w:rPr>
        <w:t xml:space="preserve"> proračuna, uz </w:t>
      </w:r>
      <w:r w:rsidRPr="00E405DC">
        <w:rPr>
          <w:rFonts w:ascii="Times New Roman" w:eastAsia="Times New Roman" w:hAnsi="Times New Roman" w:cs="Times New Roman"/>
          <w:b/>
          <w:bCs/>
          <w:sz w:val="24"/>
          <w:szCs w:val="24"/>
        </w:rPr>
        <w:t>obrazloženje</w:t>
      </w:r>
      <w:r w:rsidRPr="00E405DC">
        <w:rPr>
          <w:rFonts w:ascii="Times New Roman" w:eastAsia="Times New Roman" w:hAnsi="Times New Roman" w:cs="Times New Roman"/>
          <w:sz w:val="24"/>
          <w:szCs w:val="24"/>
        </w:rPr>
        <w:t xml:space="preserve"> ostvarenja prihoda i primitaka te izvršenja rashoda i izdataka čine i </w:t>
      </w:r>
      <w:r w:rsidRPr="00E405DC">
        <w:rPr>
          <w:rFonts w:ascii="Times New Roman" w:eastAsia="Times New Roman" w:hAnsi="Times New Roman" w:cs="Times New Roman"/>
          <w:b/>
          <w:bCs/>
          <w:sz w:val="24"/>
          <w:szCs w:val="24"/>
        </w:rPr>
        <w:t>posebni izvještaji</w:t>
      </w:r>
      <w:r w:rsidRPr="00E405DC">
        <w:rPr>
          <w:rFonts w:ascii="Times New Roman" w:eastAsia="Times New Roman" w:hAnsi="Times New Roman" w:cs="Times New Roman"/>
          <w:sz w:val="24"/>
          <w:szCs w:val="24"/>
        </w:rPr>
        <w:t>: izvještaj o zaduživanju na domaćem i stranom tržištu novca i kapitala, izvještaj o korištenju sredstava fondo</w:t>
      </w:r>
      <w:r w:rsidR="00E405DC" w:rsidRPr="00E405DC">
        <w:rPr>
          <w:rFonts w:ascii="Times New Roman" w:eastAsia="Times New Roman" w:hAnsi="Times New Roman" w:cs="Times New Roman"/>
          <w:sz w:val="24"/>
          <w:szCs w:val="24"/>
        </w:rPr>
        <w:t>va Europske unije (Dom ih u 2025</w:t>
      </w:r>
      <w:r w:rsidRPr="00E405DC">
        <w:rPr>
          <w:rFonts w:ascii="Times New Roman" w:eastAsia="Times New Roman" w:hAnsi="Times New Roman" w:cs="Times New Roman"/>
          <w:sz w:val="24"/>
          <w:szCs w:val="24"/>
        </w:rPr>
        <w:t>. godini nije ostvario), izvještaj  o danim zajmovima i potraživanjima po dan</w:t>
      </w:r>
      <w:r w:rsidR="00E405DC" w:rsidRPr="00E405DC">
        <w:rPr>
          <w:rFonts w:ascii="Times New Roman" w:eastAsia="Times New Roman" w:hAnsi="Times New Roman" w:cs="Times New Roman"/>
          <w:sz w:val="24"/>
          <w:szCs w:val="24"/>
        </w:rPr>
        <w:t>im zajmovima (Dom ih u 2025</w:t>
      </w:r>
      <w:r w:rsidRPr="00E405DC">
        <w:rPr>
          <w:rFonts w:ascii="Times New Roman" w:eastAsia="Times New Roman" w:hAnsi="Times New Roman" w:cs="Times New Roman"/>
          <w:sz w:val="24"/>
          <w:szCs w:val="24"/>
        </w:rPr>
        <w:t>. godini nije ostvario) i izvještaj o stanju potraživanja i dospjelih obveza te o stanju potencijalnih obveza po osnov</w:t>
      </w:r>
      <w:r w:rsidR="003C48C7" w:rsidRPr="00E405DC">
        <w:rPr>
          <w:rFonts w:ascii="Times New Roman" w:eastAsia="Times New Roman" w:hAnsi="Times New Roman" w:cs="Times New Roman"/>
          <w:sz w:val="24"/>
          <w:szCs w:val="24"/>
        </w:rPr>
        <w:t>i sudskih sporova.</w:t>
      </w:r>
    </w:p>
    <w:p w:rsidR="00D664E0" w:rsidRPr="00D740E3" w:rsidRDefault="00D664E0" w:rsidP="005B41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Prijedlog financijskog plana Doma za starije </w:t>
      </w:r>
      <w:r w:rsidR="00D740E3" w:rsidRPr="00D740E3">
        <w:rPr>
          <w:rFonts w:ascii="Times New Roman" w:eastAsia="Times New Roman" w:hAnsi="Times New Roman" w:cs="Times New Roman"/>
          <w:b/>
          <w:i/>
          <w:sz w:val="24"/>
          <w:szCs w:val="24"/>
        </w:rPr>
        <w:t>i nemoćne osobe Varaždin za 2025</w:t>
      </w:r>
      <w:r w:rsidRPr="00D740E3">
        <w:rPr>
          <w:rFonts w:ascii="Times New Roman" w:eastAsia="Times New Roman" w:hAnsi="Times New Roman" w:cs="Times New Roman"/>
          <w:b/>
          <w:i/>
          <w:sz w:val="24"/>
          <w:szCs w:val="24"/>
        </w:rPr>
        <w:t>. godinu</w:t>
      </w:r>
      <w:r w:rsidRPr="00D740E3">
        <w:rPr>
          <w:rFonts w:ascii="Times New Roman" w:eastAsia="Times New Roman" w:hAnsi="Times New Roman" w:cs="Times New Roman"/>
          <w:sz w:val="24"/>
          <w:szCs w:val="24"/>
        </w:rPr>
        <w:t xml:space="preserve"> (dalje u tekstu: Financijski plan) usvojilo je Upravno vijeće na sjednici održanoj </w:t>
      </w:r>
      <w:r w:rsidR="00D740E3" w:rsidRPr="00D740E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47E94" w:rsidRPr="00D740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40E3" w:rsidRPr="00D740E3">
        <w:rPr>
          <w:rFonts w:ascii="Times New Roman" w:eastAsia="Times New Roman" w:hAnsi="Times New Roman" w:cs="Times New Roman"/>
          <w:sz w:val="24"/>
          <w:szCs w:val="24"/>
        </w:rPr>
        <w:t>listopada 2024</w:t>
      </w:r>
      <w:r w:rsidR="00147E94" w:rsidRPr="00D740E3">
        <w:rPr>
          <w:rFonts w:ascii="Times New Roman" w:eastAsia="Times New Roman" w:hAnsi="Times New Roman" w:cs="Times New Roman"/>
          <w:sz w:val="24"/>
          <w:szCs w:val="24"/>
        </w:rPr>
        <w:t xml:space="preserve">. godine u iznosu </w:t>
      </w:r>
      <w:r w:rsidR="00147E94" w:rsidRPr="00613784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613784" w:rsidRPr="00613784">
        <w:rPr>
          <w:rFonts w:ascii="Times New Roman" w:eastAsia="Times New Roman" w:hAnsi="Times New Roman" w:cs="Times New Roman"/>
          <w:sz w:val="24"/>
          <w:szCs w:val="24"/>
        </w:rPr>
        <w:t>4.057.495</w:t>
      </w:r>
      <w:r w:rsidRPr="00613784">
        <w:rPr>
          <w:rFonts w:ascii="Times New Roman" w:eastAsia="Times New Roman" w:hAnsi="Times New Roman" w:cs="Times New Roman"/>
          <w:sz w:val="24"/>
          <w:szCs w:val="24"/>
        </w:rPr>
        <w:t>,00 eura</w:t>
      </w:r>
      <w:r w:rsidR="00147E94" w:rsidRPr="00613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E94" w:rsidRPr="00D740E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740E3">
        <w:rPr>
          <w:rFonts w:ascii="Times New Roman" w:eastAsia="Times New Roman" w:hAnsi="Times New Roman" w:cs="Times New Roman"/>
          <w:sz w:val="24"/>
          <w:szCs w:val="24"/>
        </w:rPr>
        <w:t>objavljen</w:t>
      </w:r>
      <w:r w:rsidR="00147E94" w:rsidRPr="00D740E3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Pr="00D740E3">
        <w:rPr>
          <w:rFonts w:ascii="Times New Roman" w:eastAsia="Times New Roman" w:hAnsi="Times New Roman" w:cs="Times New Roman"/>
          <w:sz w:val="24"/>
          <w:szCs w:val="24"/>
        </w:rPr>
        <w:t xml:space="preserve"> na internetskim stranicama Doma.  </w:t>
      </w:r>
      <w:r w:rsidRPr="00D740E3">
        <w:rPr>
          <w:rFonts w:ascii="Times New Roman" w:eastAsia="Times New Roman" w:hAnsi="Times New Roman" w:cs="Times New Roman"/>
          <w:b/>
          <w:i/>
          <w:sz w:val="24"/>
          <w:szCs w:val="24"/>
        </w:rPr>
        <w:t>Izmjene i dopune Financijskog plana</w:t>
      </w:r>
      <w:r w:rsidRPr="00D740E3">
        <w:rPr>
          <w:rFonts w:ascii="Times New Roman" w:eastAsia="Times New Roman" w:hAnsi="Times New Roman" w:cs="Times New Roman"/>
          <w:sz w:val="24"/>
          <w:szCs w:val="24"/>
        </w:rPr>
        <w:t xml:space="preserve"> don</w:t>
      </w:r>
      <w:r w:rsidR="00D740E3" w:rsidRPr="00D740E3">
        <w:rPr>
          <w:rFonts w:ascii="Times New Roman" w:eastAsia="Times New Roman" w:hAnsi="Times New Roman" w:cs="Times New Roman"/>
          <w:sz w:val="24"/>
          <w:szCs w:val="24"/>
        </w:rPr>
        <w:t>ijete su na sjednici održanoj 17. rujna 2025</w:t>
      </w:r>
      <w:r w:rsidRPr="00D740E3">
        <w:rPr>
          <w:rFonts w:ascii="Times New Roman" w:eastAsia="Times New Roman" w:hAnsi="Times New Roman" w:cs="Times New Roman"/>
          <w:sz w:val="24"/>
          <w:szCs w:val="24"/>
        </w:rPr>
        <w:t xml:space="preserve">. godine, kojima je Financijski plan utvrđen u </w:t>
      </w:r>
      <w:r w:rsidR="00147E94" w:rsidRPr="00D740E3">
        <w:rPr>
          <w:rFonts w:ascii="Times New Roman" w:eastAsia="Times New Roman" w:hAnsi="Times New Roman" w:cs="Times New Roman"/>
          <w:sz w:val="24"/>
          <w:szCs w:val="24"/>
        </w:rPr>
        <w:t xml:space="preserve">visini </w:t>
      </w:r>
      <w:r w:rsidR="00147E94" w:rsidRPr="00613784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613784" w:rsidRPr="00613784">
        <w:rPr>
          <w:rFonts w:ascii="Times New Roman" w:eastAsia="Times New Roman" w:hAnsi="Times New Roman" w:cs="Times New Roman"/>
          <w:sz w:val="24"/>
          <w:szCs w:val="24"/>
        </w:rPr>
        <w:t>4.281.367</w:t>
      </w:r>
      <w:r w:rsidRPr="00613784">
        <w:rPr>
          <w:rFonts w:ascii="Times New Roman" w:eastAsia="Times New Roman" w:hAnsi="Times New Roman" w:cs="Times New Roman"/>
          <w:sz w:val="24"/>
          <w:szCs w:val="24"/>
        </w:rPr>
        <w:t xml:space="preserve">,00 eura </w:t>
      </w:r>
      <w:r w:rsidRPr="00D740E3">
        <w:rPr>
          <w:rFonts w:ascii="Times New Roman" w:eastAsia="Times New Roman" w:hAnsi="Times New Roman" w:cs="Times New Roman"/>
          <w:sz w:val="24"/>
          <w:szCs w:val="24"/>
        </w:rPr>
        <w:t>i objavljen je na internetskim stranicama Doma.</w:t>
      </w:r>
    </w:p>
    <w:p w:rsidR="005B419F" w:rsidRPr="00D740E3" w:rsidRDefault="00D664E0" w:rsidP="003C48C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E3">
        <w:rPr>
          <w:rFonts w:ascii="Times New Roman" w:eastAsia="Times New Roman" w:hAnsi="Times New Roman" w:cs="Times New Roman"/>
          <w:sz w:val="24"/>
          <w:szCs w:val="24"/>
        </w:rPr>
        <w:t xml:space="preserve">Sažetak </w:t>
      </w:r>
      <w:r w:rsidRPr="00D740E3">
        <w:rPr>
          <w:rFonts w:ascii="Times New Roman" w:eastAsia="Times New Roman" w:hAnsi="Times New Roman" w:cs="Times New Roman"/>
          <w:i/>
          <w:sz w:val="24"/>
          <w:szCs w:val="24"/>
        </w:rPr>
        <w:t>Računa prihoda i rashoda</w:t>
      </w:r>
      <w:r w:rsidRPr="00D740E3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Pr="00D740E3">
        <w:rPr>
          <w:rFonts w:ascii="Times New Roman" w:eastAsia="Times New Roman" w:hAnsi="Times New Roman" w:cs="Times New Roman"/>
          <w:i/>
          <w:sz w:val="24"/>
          <w:szCs w:val="24"/>
        </w:rPr>
        <w:t>Računa financiranja</w:t>
      </w:r>
      <w:r w:rsidRPr="00D740E3">
        <w:rPr>
          <w:rFonts w:ascii="Times New Roman" w:eastAsia="Times New Roman" w:hAnsi="Times New Roman" w:cs="Times New Roman"/>
          <w:sz w:val="24"/>
          <w:szCs w:val="24"/>
        </w:rPr>
        <w:t xml:space="preserve"> s raspoloživim sredstvima iz prethodnih godina dan je u </w:t>
      </w:r>
      <w:r w:rsidRPr="00D740E3">
        <w:rPr>
          <w:rFonts w:ascii="Times New Roman" w:eastAsia="Times New Roman" w:hAnsi="Times New Roman" w:cs="Times New Roman"/>
          <w:b/>
          <w:sz w:val="24"/>
          <w:szCs w:val="24"/>
        </w:rPr>
        <w:t>Tablici 1</w:t>
      </w:r>
      <w:r w:rsidRPr="00D740E3">
        <w:rPr>
          <w:rFonts w:ascii="Times New Roman" w:eastAsia="Times New Roman" w:hAnsi="Times New Roman" w:cs="Times New Roman"/>
          <w:sz w:val="24"/>
          <w:szCs w:val="24"/>
        </w:rPr>
        <w:t xml:space="preserve"> usporedno s izvršenjem prethodne godine.</w:t>
      </w:r>
    </w:p>
    <w:p w:rsidR="00D664E0" w:rsidRPr="00D664E0" w:rsidRDefault="00AB0DE1" w:rsidP="00D664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DE1">
        <w:rPr>
          <w:noProof/>
          <w:lang w:eastAsia="hr-HR"/>
        </w:rPr>
        <w:drawing>
          <wp:inline distT="0" distB="0" distL="0" distR="0" wp14:anchorId="60CB8720" wp14:editId="7B0BB628">
            <wp:extent cx="5670550" cy="3207854"/>
            <wp:effectExtent l="0" t="0" r="635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20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E0" w:rsidRPr="00D50267" w:rsidRDefault="00D664E0" w:rsidP="005B419F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2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Godišnji izvještaj o izvršenju iskazuje ostvarenje prihoda i primitaka, odnosno izvršenje rashoda i izdataka </w:t>
      </w:r>
      <w:r w:rsidRPr="00D50267">
        <w:rPr>
          <w:rFonts w:ascii="Times New Roman" w:eastAsia="Times New Roman" w:hAnsi="Times New Roman" w:cs="Times New Roman"/>
          <w:b/>
          <w:sz w:val="24"/>
          <w:szCs w:val="24"/>
        </w:rPr>
        <w:t xml:space="preserve">unutar jedne godine (tekući viškovi/manjkovi). </w:t>
      </w:r>
    </w:p>
    <w:p w:rsidR="00D664E0" w:rsidRPr="00D50267" w:rsidRDefault="00D664E0" w:rsidP="005B41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267">
        <w:rPr>
          <w:rFonts w:ascii="Times New Roman" w:eastAsia="Times New Roman" w:hAnsi="Times New Roman" w:cs="Times New Roman"/>
          <w:sz w:val="24"/>
          <w:szCs w:val="24"/>
        </w:rPr>
        <w:t>Uz tekuće viškove i/ili manjkove u Godišnjem izvještaju o izvršenju financijskog plana iskazuje se preneseni manjak (ili dio manjka) za koji su u Financijskom planu osigurana sredstva za pokriće, odnosno preneseni višak (ili dio viška) prethodne godine koji je raspodijeljen u tekućoj godini (</w:t>
      </w:r>
      <w:r w:rsidRPr="00D50267">
        <w:rPr>
          <w:rFonts w:ascii="Times New Roman" w:eastAsia="Times New Roman" w:hAnsi="Times New Roman" w:cs="Times New Roman"/>
          <w:b/>
          <w:sz w:val="24"/>
          <w:szCs w:val="24"/>
        </w:rPr>
        <w:t>preneseni višak/manjak</w:t>
      </w:r>
      <w:r w:rsidRPr="00D5026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D664E0" w:rsidRPr="00D50267" w:rsidRDefault="00D664E0" w:rsidP="005B41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267">
        <w:rPr>
          <w:rFonts w:ascii="Times New Roman" w:eastAsia="Times New Roman" w:hAnsi="Times New Roman" w:cs="Times New Roman"/>
          <w:sz w:val="24"/>
          <w:szCs w:val="24"/>
        </w:rPr>
        <w:t>Iz Tablice 1 vidljivo je:</w:t>
      </w:r>
    </w:p>
    <w:p w:rsidR="00D664E0" w:rsidRPr="00073856" w:rsidRDefault="00D664E0" w:rsidP="005B419F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856">
        <w:rPr>
          <w:rFonts w:ascii="Times New Roman" w:eastAsia="Times New Roman" w:hAnsi="Times New Roman" w:cs="Times New Roman"/>
          <w:sz w:val="24"/>
          <w:szCs w:val="24"/>
        </w:rPr>
        <w:t>da su prihodi i primici u izvještajnom r</w:t>
      </w:r>
      <w:r w:rsidR="004427F5" w:rsidRPr="00073856">
        <w:rPr>
          <w:rFonts w:ascii="Times New Roman" w:eastAsia="Times New Roman" w:hAnsi="Times New Roman" w:cs="Times New Roman"/>
          <w:sz w:val="24"/>
          <w:szCs w:val="24"/>
        </w:rPr>
        <w:t>azdobl</w:t>
      </w:r>
      <w:r w:rsidR="00073856" w:rsidRPr="00073856">
        <w:rPr>
          <w:rFonts w:ascii="Times New Roman" w:eastAsia="Times New Roman" w:hAnsi="Times New Roman" w:cs="Times New Roman"/>
          <w:sz w:val="24"/>
          <w:szCs w:val="24"/>
        </w:rPr>
        <w:t>ju naplaćeni u iznosu od 4.377.328,43 eura, odnosno 2,24</w:t>
      </w:r>
      <w:r w:rsidRPr="00073856">
        <w:rPr>
          <w:rFonts w:ascii="Times New Roman" w:eastAsia="Times New Roman" w:hAnsi="Times New Roman" w:cs="Times New Roman"/>
          <w:sz w:val="24"/>
          <w:szCs w:val="24"/>
        </w:rPr>
        <w:t>% više u odnosu na plan,</w:t>
      </w:r>
    </w:p>
    <w:p w:rsidR="00D664E0" w:rsidRPr="00073856" w:rsidRDefault="00D664E0" w:rsidP="005B419F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856">
        <w:rPr>
          <w:rFonts w:ascii="Times New Roman" w:eastAsia="Times New Roman" w:hAnsi="Times New Roman" w:cs="Times New Roman"/>
          <w:sz w:val="24"/>
          <w:szCs w:val="24"/>
        </w:rPr>
        <w:t>da su ukupni rashodi</w:t>
      </w:r>
      <w:r w:rsidR="004427F5" w:rsidRPr="00073856">
        <w:rPr>
          <w:rFonts w:ascii="Times New Roman" w:eastAsia="Times New Roman" w:hAnsi="Times New Roman" w:cs="Times New Roman"/>
          <w:sz w:val="24"/>
          <w:szCs w:val="24"/>
        </w:rPr>
        <w:t xml:space="preserve"> i i</w:t>
      </w:r>
      <w:r w:rsidR="00073856" w:rsidRPr="00073856">
        <w:rPr>
          <w:rFonts w:ascii="Times New Roman" w:eastAsia="Times New Roman" w:hAnsi="Times New Roman" w:cs="Times New Roman"/>
          <w:sz w:val="24"/>
          <w:szCs w:val="24"/>
        </w:rPr>
        <w:t>zdaci izvršeni u iznosu od 4.403.998,24 eura, odnosno 2,09</w:t>
      </w:r>
      <w:r w:rsidRPr="00073856">
        <w:rPr>
          <w:rFonts w:ascii="Times New Roman" w:eastAsia="Times New Roman" w:hAnsi="Times New Roman" w:cs="Times New Roman"/>
          <w:sz w:val="24"/>
          <w:szCs w:val="24"/>
        </w:rPr>
        <w:t>% više u odnosu na plan,</w:t>
      </w:r>
    </w:p>
    <w:p w:rsidR="00D664E0" w:rsidRPr="00073856" w:rsidRDefault="00073856" w:rsidP="005B419F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856">
        <w:rPr>
          <w:rFonts w:ascii="Times New Roman" w:eastAsia="Times New Roman" w:hAnsi="Times New Roman" w:cs="Times New Roman"/>
          <w:sz w:val="24"/>
          <w:szCs w:val="24"/>
        </w:rPr>
        <w:t>da preneseni višak iz prethodne godine iznosi 32.586,91</w:t>
      </w:r>
      <w:r w:rsidR="00D664E0" w:rsidRPr="00073856">
        <w:rPr>
          <w:rFonts w:ascii="Times New Roman" w:eastAsia="Times New Roman" w:hAnsi="Times New Roman" w:cs="Times New Roman"/>
          <w:sz w:val="24"/>
          <w:szCs w:val="24"/>
        </w:rPr>
        <w:t xml:space="preserve"> eura,</w:t>
      </w:r>
    </w:p>
    <w:p w:rsidR="00D664E0" w:rsidRPr="00073856" w:rsidRDefault="00FE0BD9" w:rsidP="005B419F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856">
        <w:rPr>
          <w:rFonts w:ascii="Times New Roman" w:eastAsia="Times New Roman" w:hAnsi="Times New Roman" w:cs="Times New Roman"/>
          <w:sz w:val="24"/>
          <w:szCs w:val="24"/>
        </w:rPr>
        <w:t>da je</w:t>
      </w:r>
      <w:r w:rsidR="00073856" w:rsidRPr="00073856">
        <w:rPr>
          <w:rFonts w:ascii="Times New Roman" w:eastAsia="Times New Roman" w:hAnsi="Times New Roman" w:cs="Times New Roman"/>
          <w:sz w:val="24"/>
          <w:szCs w:val="24"/>
        </w:rPr>
        <w:t xml:space="preserve"> u 2025</w:t>
      </w:r>
      <w:r w:rsidRPr="00073856">
        <w:rPr>
          <w:rFonts w:ascii="Times New Roman" w:eastAsia="Times New Roman" w:hAnsi="Times New Roman" w:cs="Times New Roman"/>
          <w:sz w:val="24"/>
          <w:szCs w:val="24"/>
        </w:rPr>
        <w:t>. godini ostva</w:t>
      </w:r>
      <w:r w:rsidR="00073856" w:rsidRPr="00073856">
        <w:rPr>
          <w:rFonts w:ascii="Times New Roman" w:eastAsia="Times New Roman" w:hAnsi="Times New Roman" w:cs="Times New Roman"/>
          <w:sz w:val="24"/>
          <w:szCs w:val="24"/>
        </w:rPr>
        <w:t>ren višak prihoda koji iznosi 5.917,10</w:t>
      </w:r>
      <w:r w:rsidR="00D664E0" w:rsidRPr="00073856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</w:p>
    <w:p w:rsidR="00D664E0" w:rsidRPr="00883356" w:rsidRDefault="00D664E0" w:rsidP="003E4BA6">
      <w:pPr>
        <w:spacing w:before="120" w:after="120"/>
        <w:jc w:val="both"/>
        <w:rPr>
          <w:rFonts w:ascii="Arial" w:eastAsia="Times New Roman" w:hAnsi="Arial" w:cs="Arial"/>
          <w:color w:val="FF0000"/>
          <w:sz w:val="24"/>
          <w:szCs w:val="24"/>
          <w:highlight w:val="yellow"/>
        </w:rPr>
      </w:pPr>
    </w:p>
    <w:p w:rsidR="00D664E0" w:rsidRPr="00D664E0" w:rsidRDefault="00D664E0" w:rsidP="00D664E0">
      <w:pPr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</w:pPr>
      <w:bookmarkStart w:id="3" w:name="_Toc159483631"/>
      <w:r w:rsidRPr="00D664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  <w:t>PRIHODI I PRIMICI</w:t>
      </w:r>
      <w:bookmarkEnd w:id="3"/>
    </w:p>
    <w:p w:rsidR="00D664E0" w:rsidRPr="00D664E0" w:rsidRDefault="00D664E0" w:rsidP="00D664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664E0" w:rsidRDefault="00D664E0" w:rsidP="003525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6BC">
        <w:rPr>
          <w:rFonts w:ascii="Times New Roman" w:eastAsia="Times New Roman" w:hAnsi="Times New Roman" w:cs="Times New Roman"/>
          <w:sz w:val="24"/>
          <w:szCs w:val="24"/>
        </w:rPr>
        <w:t xml:space="preserve">Financijskim planom Doma za starije </w:t>
      </w:r>
      <w:r w:rsidR="004E66BC" w:rsidRPr="004E66BC">
        <w:rPr>
          <w:rFonts w:ascii="Times New Roman" w:eastAsia="Times New Roman" w:hAnsi="Times New Roman" w:cs="Times New Roman"/>
          <w:sz w:val="24"/>
          <w:szCs w:val="24"/>
        </w:rPr>
        <w:t>i nemoćne osobe Varaždin za 2025</w:t>
      </w:r>
      <w:r w:rsidRPr="004E66BC">
        <w:rPr>
          <w:rFonts w:ascii="Times New Roman" w:eastAsia="Times New Roman" w:hAnsi="Times New Roman" w:cs="Times New Roman"/>
          <w:sz w:val="24"/>
          <w:szCs w:val="24"/>
        </w:rPr>
        <w:t>. godinu planirani su</w:t>
      </w:r>
      <w:r w:rsidR="00A46399" w:rsidRPr="004E66BC">
        <w:rPr>
          <w:rFonts w:ascii="Times New Roman" w:eastAsia="Times New Roman" w:hAnsi="Times New Roman" w:cs="Times New Roman"/>
          <w:sz w:val="24"/>
          <w:szCs w:val="24"/>
        </w:rPr>
        <w:t xml:space="preserve"> pri</w:t>
      </w:r>
      <w:r w:rsidR="004E66BC" w:rsidRPr="004E66BC">
        <w:rPr>
          <w:rFonts w:ascii="Times New Roman" w:eastAsia="Times New Roman" w:hAnsi="Times New Roman" w:cs="Times New Roman"/>
          <w:sz w:val="24"/>
          <w:szCs w:val="24"/>
        </w:rPr>
        <w:t>hodi i primici u iznosu od 4.281.367</w:t>
      </w:r>
      <w:r w:rsidRPr="004E66BC">
        <w:rPr>
          <w:rFonts w:ascii="Times New Roman" w:eastAsia="Times New Roman" w:hAnsi="Times New Roman" w:cs="Times New Roman"/>
          <w:sz w:val="24"/>
          <w:szCs w:val="24"/>
        </w:rPr>
        <w:t>,00 eura (bez uključenog prenesenog viška prethodnih godina), a</w:t>
      </w:r>
      <w:r w:rsidR="00F1347F" w:rsidRPr="004E66BC">
        <w:rPr>
          <w:rFonts w:ascii="Times New Roman" w:eastAsia="Times New Roman" w:hAnsi="Times New Roman" w:cs="Times New Roman"/>
          <w:sz w:val="24"/>
          <w:szCs w:val="24"/>
        </w:rPr>
        <w:t xml:space="preserve"> ist</w:t>
      </w:r>
      <w:r w:rsidR="004E66BC" w:rsidRPr="004E66BC">
        <w:rPr>
          <w:rFonts w:ascii="Times New Roman" w:eastAsia="Times New Roman" w:hAnsi="Times New Roman" w:cs="Times New Roman"/>
          <w:sz w:val="24"/>
          <w:szCs w:val="24"/>
        </w:rPr>
        <w:t>i su naplaćeni u iznosu od 4.377.328,43</w:t>
      </w:r>
      <w:r w:rsidRPr="004E66BC">
        <w:rPr>
          <w:rFonts w:ascii="Times New Roman" w:eastAsia="Times New Roman" w:hAnsi="Times New Roman" w:cs="Times New Roman"/>
          <w:sz w:val="24"/>
          <w:szCs w:val="24"/>
        </w:rPr>
        <w:t xml:space="preserve"> eura, odnosno </w:t>
      </w:r>
      <w:r w:rsidR="004E66BC" w:rsidRPr="004E66BC">
        <w:rPr>
          <w:rFonts w:ascii="Times New Roman" w:eastAsia="Times New Roman" w:hAnsi="Times New Roman" w:cs="Times New Roman"/>
          <w:b/>
          <w:i/>
          <w:sz w:val="24"/>
          <w:szCs w:val="24"/>
        </w:rPr>
        <w:t>2,24</w:t>
      </w:r>
      <w:r w:rsidRPr="004E66BC">
        <w:rPr>
          <w:rFonts w:ascii="Times New Roman" w:eastAsia="Times New Roman" w:hAnsi="Times New Roman" w:cs="Times New Roman"/>
          <w:b/>
          <w:i/>
          <w:sz w:val="24"/>
          <w:szCs w:val="24"/>
        </w:rPr>
        <w:t>% više od godišnjeg plana</w:t>
      </w:r>
      <w:r w:rsidRPr="004E66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347F" w:rsidRPr="007452F3" w:rsidRDefault="007452F3" w:rsidP="003525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Veći prihodi ostvareni su zbog dodatnih sredstava </w:t>
      </w:r>
      <w:r w:rsidRPr="007452F3">
        <w:rPr>
          <w:rFonts w:ascii="Times New Roman" w:eastAsia="Times New Roman" w:hAnsi="Times New Roman" w:cs="Times New Roman"/>
          <w:sz w:val="24"/>
          <w:szCs w:val="24"/>
        </w:rPr>
        <w:t>dobivenih od Varaždinske županije (u iznosu od 77.112,44 eura) zbog ostvarenog dodatnog udjela poreza na dohodak koja su iskorištena za financiranje decentraliziranih funkcija te zbog povećanja</w:t>
      </w:r>
      <w:r w:rsidR="00D664E0" w:rsidRPr="007452F3">
        <w:rPr>
          <w:rFonts w:ascii="Times New Roman" w:eastAsia="Times New Roman" w:hAnsi="Times New Roman" w:cs="Times New Roman"/>
          <w:sz w:val="24"/>
          <w:szCs w:val="24"/>
        </w:rPr>
        <w:t xml:space="preserve"> cijena smještaja u Domu</w:t>
      </w:r>
      <w:r w:rsidRPr="007452F3">
        <w:rPr>
          <w:rFonts w:ascii="Times New Roman" w:eastAsia="Times New Roman" w:hAnsi="Times New Roman" w:cs="Times New Roman"/>
          <w:sz w:val="24"/>
          <w:szCs w:val="24"/>
        </w:rPr>
        <w:t xml:space="preserve"> koje vrijedi od 01. prosinca 2025</w:t>
      </w:r>
      <w:r w:rsidR="00D664E0" w:rsidRPr="007452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452F3">
        <w:rPr>
          <w:rFonts w:ascii="Times New Roman" w:eastAsia="Times New Roman" w:hAnsi="Times New Roman" w:cs="Times New Roman"/>
          <w:sz w:val="24"/>
          <w:szCs w:val="24"/>
        </w:rPr>
        <w:t>g</w:t>
      </w:r>
      <w:r w:rsidR="00D664E0" w:rsidRPr="007452F3">
        <w:rPr>
          <w:rFonts w:ascii="Times New Roman" w:eastAsia="Times New Roman" w:hAnsi="Times New Roman" w:cs="Times New Roman"/>
          <w:sz w:val="24"/>
          <w:szCs w:val="24"/>
        </w:rPr>
        <w:t>odine</w:t>
      </w:r>
      <w:r w:rsidRPr="007452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1FC" w:rsidRDefault="00F1347F" w:rsidP="00F134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1FC">
        <w:rPr>
          <w:rFonts w:ascii="Times New Roman" w:eastAsia="Times New Roman" w:hAnsi="Times New Roman" w:cs="Times New Roman"/>
          <w:sz w:val="24"/>
          <w:szCs w:val="24"/>
        </w:rPr>
        <w:t>Ostvarene su pomoći iz inozemstva i od subjekata unutar općeg proračuna koje obuhvaćaju sufinanciranje dijela trošk</w:t>
      </w:r>
      <w:r w:rsidR="00A64BA3" w:rsidRPr="007C11FC">
        <w:rPr>
          <w:rFonts w:ascii="Times New Roman" w:eastAsia="Times New Roman" w:hAnsi="Times New Roman" w:cs="Times New Roman"/>
          <w:sz w:val="24"/>
          <w:szCs w:val="24"/>
        </w:rPr>
        <w:t>ova energenata koje se nastavilo</w:t>
      </w:r>
      <w:r w:rsidR="007C11FC" w:rsidRPr="007C11FC">
        <w:rPr>
          <w:rFonts w:ascii="Times New Roman" w:eastAsia="Times New Roman" w:hAnsi="Times New Roman" w:cs="Times New Roman"/>
          <w:sz w:val="24"/>
          <w:szCs w:val="24"/>
        </w:rPr>
        <w:t xml:space="preserve"> i u 2025</w:t>
      </w:r>
      <w:r w:rsidRPr="007C11FC">
        <w:rPr>
          <w:rFonts w:ascii="Times New Roman" w:eastAsia="Times New Roman" w:hAnsi="Times New Roman" w:cs="Times New Roman"/>
          <w:sz w:val="24"/>
          <w:szCs w:val="24"/>
        </w:rPr>
        <w:t>. god</w:t>
      </w:r>
      <w:r w:rsidR="00A64BA3" w:rsidRPr="007C11F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C11FC" w:rsidRPr="007C11FC">
        <w:rPr>
          <w:rFonts w:ascii="Times New Roman" w:eastAsia="Times New Roman" w:hAnsi="Times New Roman" w:cs="Times New Roman"/>
          <w:sz w:val="24"/>
          <w:szCs w:val="24"/>
        </w:rPr>
        <w:t>i za što je od države dobiveno 5.94</w:t>
      </w:r>
      <w:r w:rsidRPr="007C11FC">
        <w:rPr>
          <w:rFonts w:ascii="Times New Roman" w:eastAsia="Times New Roman" w:hAnsi="Times New Roman" w:cs="Times New Roman"/>
          <w:sz w:val="24"/>
          <w:szCs w:val="24"/>
        </w:rPr>
        <w:t xml:space="preserve">0,00 eura te pomoći dobivene od Grada Varaždina u iznosu od 4.000,00 eura kojom se sufinancira rad Dnevnog centra. </w:t>
      </w:r>
    </w:p>
    <w:p w:rsidR="00F1347F" w:rsidRPr="007C11FC" w:rsidRDefault="00A64BA3" w:rsidP="00F134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1FC">
        <w:rPr>
          <w:rFonts w:ascii="Times New Roman" w:eastAsia="Times New Roman" w:hAnsi="Times New Roman" w:cs="Times New Roman"/>
          <w:sz w:val="24"/>
          <w:szCs w:val="24"/>
        </w:rPr>
        <w:t>Prihodi od imovine</w:t>
      </w:r>
      <w:r w:rsidR="007C11FC" w:rsidRPr="007C11FC">
        <w:rPr>
          <w:rFonts w:ascii="Times New Roman" w:eastAsia="Times New Roman" w:hAnsi="Times New Roman" w:cs="Times New Roman"/>
          <w:sz w:val="24"/>
          <w:szCs w:val="24"/>
        </w:rPr>
        <w:t>, odnosno kamate na depozite po viđenju</w:t>
      </w:r>
      <w:r w:rsidRPr="007C1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1FC" w:rsidRPr="007C11FC">
        <w:rPr>
          <w:rFonts w:ascii="Times New Roman" w:eastAsia="Times New Roman" w:hAnsi="Times New Roman" w:cs="Times New Roman"/>
          <w:sz w:val="24"/>
          <w:szCs w:val="24"/>
        </w:rPr>
        <w:t>veće</w:t>
      </w:r>
      <w:r w:rsidRPr="007C11FC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="00F1347F" w:rsidRPr="007C11FC">
        <w:rPr>
          <w:rFonts w:ascii="Times New Roman" w:eastAsia="Times New Roman" w:hAnsi="Times New Roman" w:cs="Times New Roman"/>
          <w:sz w:val="24"/>
          <w:szCs w:val="24"/>
        </w:rPr>
        <w:t xml:space="preserve"> u izvještajnom razdo</w:t>
      </w:r>
      <w:r w:rsidR="007C11FC" w:rsidRPr="007C11FC">
        <w:rPr>
          <w:rFonts w:ascii="Times New Roman" w:eastAsia="Times New Roman" w:hAnsi="Times New Roman" w:cs="Times New Roman"/>
          <w:sz w:val="24"/>
          <w:szCs w:val="24"/>
        </w:rPr>
        <w:t>blju u odnosu na 2024</w:t>
      </w:r>
      <w:r w:rsidRPr="007C11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11FC" w:rsidRPr="007C11F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C11FC">
        <w:rPr>
          <w:rFonts w:ascii="Times New Roman" w:eastAsia="Times New Roman" w:hAnsi="Times New Roman" w:cs="Times New Roman"/>
          <w:sz w:val="24"/>
          <w:szCs w:val="24"/>
        </w:rPr>
        <w:t>odinu</w:t>
      </w:r>
      <w:r w:rsidR="007C11FC" w:rsidRPr="007C11FC">
        <w:rPr>
          <w:rFonts w:ascii="Times New Roman" w:eastAsia="Times New Roman" w:hAnsi="Times New Roman" w:cs="Times New Roman"/>
          <w:sz w:val="24"/>
          <w:szCs w:val="24"/>
        </w:rPr>
        <w:t xml:space="preserve"> zbog više novaca na računu</w:t>
      </w:r>
      <w:r w:rsidR="00F1347F" w:rsidRPr="007C11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347F" w:rsidRPr="001579FD" w:rsidRDefault="00F1347F" w:rsidP="00F134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1FC">
        <w:rPr>
          <w:rFonts w:ascii="Times New Roman" w:eastAsia="Times New Roman" w:hAnsi="Times New Roman" w:cs="Times New Roman"/>
          <w:sz w:val="24"/>
          <w:szCs w:val="24"/>
        </w:rPr>
        <w:t>Najveći dio prihoda ostvaren je od prihoda od upravnih i administrativnih pristojbi, pristojbi po posebnim propisima</w:t>
      </w:r>
      <w:r w:rsidR="00A408BB" w:rsidRPr="007C11FC">
        <w:rPr>
          <w:rFonts w:ascii="Times New Roman" w:eastAsia="Times New Roman" w:hAnsi="Times New Roman" w:cs="Times New Roman"/>
          <w:sz w:val="24"/>
          <w:szCs w:val="24"/>
        </w:rPr>
        <w:t xml:space="preserve"> i n</w:t>
      </w:r>
      <w:r w:rsidR="007C11FC" w:rsidRPr="007C11FC">
        <w:rPr>
          <w:rFonts w:ascii="Times New Roman" w:eastAsia="Times New Roman" w:hAnsi="Times New Roman" w:cs="Times New Roman"/>
          <w:sz w:val="24"/>
          <w:szCs w:val="24"/>
        </w:rPr>
        <w:t>aknada i oni ukupno iznose 2.894.103,63</w:t>
      </w:r>
      <w:r w:rsidRPr="007C11FC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Pr="001579FD">
        <w:rPr>
          <w:rFonts w:ascii="Times New Roman" w:eastAsia="Times New Roman" w:hAnsi="Times New Roman" w:cs="Times New Roman"/>
          <w:sz w:val="24"/>
          <w:szCs w:val="24"/>
        </w:rPr>
        <w:t>. Unutar navedenih prihoda nalaze se prihodi od opskrbnina (telefona korisnika i toplih obroka</w:t>
      </w:r>
      <w:r w:rsidR="007C11FC" w:rsidRPr="001579FD">
        <w:rPr>
          <w:rFonts w:ascii="Times New Roman" w:eastAsia="Times New Roman" w:hAnsi="Times New Roman" w:cs="Times New Roman"/>
          <w:sz w:val="24"/>
          <w:szCs w:val="24"/>
        </w:rPr>
        <w:t xml:space="preserve"> zaposlenika</w:t>
      </w:r>
      <w:r w:rsidRPr="001579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B6277" w:rsidRPr="001579FD">
        <w:rPr>
          <w:rFonts w:ascii="Times New Roman" w:eastAsia="Times New Roman" w:hAnsi="Times New Roman" w:cs="Times New Roman"/>
          <w:sz w:val="24"/>
          <w:szCs w:val="24"/>
        </w:rPr>
        <w:t xml:space="preserve"> koj</w:t>
      </w:r>
      <w:r w:rsidR="007C11FC" w:rsidRPr="001579FD">
        <w:rPr>
          <w:rFonts w:ascii="Times New Roman" w:eastAsia="Times New Roman" w:hAnsi="Times New Roman" w:cs="Times New Roman"/>
          <w:sz w:val="24"/>
          <w:szCs w:val="24"/>
        </w:rPr>
        <w:t>i su ostvareni u iznosu od 2.892.390,02</w:t>
      </w:r>
      <w:r w:rsidRPr="001579FD">
        <w:rPr>
          <w:rFonts w:ascii="Times New Roman" w:eastAsia="Times New Roman" w:hAnsi="Times New Roman" w:cs="Times New Roman"/>
          <w:sz w:val="24"/>
          <w:szCs w:val="24"/>
        </w:rPr>
        <w:t xml:space="preserve"> eura (unutar navedenog iznosa sadržane su i opskrbnine koje se odnose na Dnevni centar i iznose </w:t>
      </w:r>
      <w:r w:rsidR="001579FD" w:rsidRPr="001579FD">
        <w:rPr>
          <w:rFonts w:ascii="Times New Roman" w:eastAsia="Times New Roman" w:hAnsi="Times New Roman" w:cs="Times New Roman"/>
          <w:sz w:val="24"/>
          <w:szCs w:val="24"/>
        </w:rPr>
        <w:t>22.115,70</w:t>
      </w:r>
      <w:r w:rsidRPr="001579FD">
        <w:rPr>
          <w:rFonts w:ascii="Times New Roman" w:eastAsia="Times New Roman" w:hAnsi="Times New Roman" w:cs="Times New Roman"/>
          <w:sz w:val="24"/>
          <w:szCs w:val="24"/>
        </w:rPr>
        <w:t xml:space="preserve"> eura) i prihodi od nadoknade štete s osnova osiguranja u iznosu od </w:t>
      </w:r>
      <w:r w:rsidR="001579FD" w:rsidRPr="001579FD">
        <w:rPr>
          <w:rFonts w:ascii="Times New Roman" w:eastAsia="Times New Roman" w:hAnsi="Times New Roman" w:cs="Times New Roman"/>
          <w:sz w:val="24"/>
          <w:szCs w:val="24"/>
        </w:rPr>
        <w:t>1.713,61</w:t>
      </w:r>
      <w:r w:rsidR="003B6277" w:rsidRPr="001579FD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Pr="001579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347F" w:rsidRPr="008B0CB5" w:rsidRDefault="00F1347F" w:rsidP="00F134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949">
        <w:rPr>
          <w:rFonts w:ascii="Times New Roman" w:eastAsia="Times New Roman" w:hAnsi="Times New Roman" w:cs="Times New Roman"/>
          <w:sz w:val="24"/>
          <w:szCs w:val="24"/>
        </w:rPr>
        <w:t>Prihodi od zak</w:t>
      </w:r>
      <w:r w:rsidR="009C4949" w:rsidRPr="009C4949">
        <w:rPr>
          <w:rFonts w:ascii="Times New Roman" w:eastAsia="Times New Roman" w:hAnsi="Times New Roman" w:cs="Times New Roman"/>
          <w:sz w:val="24"/>
          <w:szCs w:val="24"/>
        </w:rPr>
        <w:t>upa poslovnih prostora iznose 42.438,72</w:t>
      </w:r>
      <w:r w:rsidRPr="009C4949">
        <w:rPr>
          <w:rFonts w:ascii="Times New Roman" w:eastAsia="Times New Roman" w:hAnsi="Times New Roman" w:cs="Times New Roman"/>
          <w:sz w:val="24"/>
          <w:szCs w:val="24"/>
        </w:rPr>
        <w:t xml:space="preserve"> eura i</w:t>
      </w:r>
      <w:r w:rsidR="009C4949" w:rsidRPr="009C4949">
        <w:rPr>
          <w:rFonts w:ascii="Times New Roman" w:eastAsia="Times New Roman" w:hAnsi="Times New Roman" w:cs="Times New Roman"/>
          <w:sz w:val="24"/>
          <w:szCs w:val="24"/>
        </w:rPr>
        <w:t xml:space="preserve"> neznatno</w:t>
      </w:r>
      <w:r w:rsidR="005A7BD7" w:rsidRPr="009C4949">
        <w:rPr>
          <w:rFonts w:ascii="Times New Roman" w:eastAsia="Times New Roman" w:hAnsi="Times New Roman" w:cs="Times New Roman"/>
          <w:sz w:val="24"/>
          <w:szCs w:val="24"/>
        </w:rPr>
        <w:t xml:space="preserve"> su veći </w:t>
      </w:r>
      <w:r w:rsidRPr="009C4949">
        <w:rPr>
          <w:rFonts w:ascii="Times New Roman" w:eastAsia="Times New Roman" w:hAnsi="Times New Roman" w:cs="Times New Roman"/>
          <w:sz w:val="24"/>
          <w:szCs w:val="24"/>
        </w:rPr>
        <w:t>nego u istom razdob</w:t>
      </w:r>
      <w:r w:rsidR="009C4949" w:rsidRPr="009C4949">
        <w:rPr>
          <w:rFonts w:ascii="Times New Roman" w:eastAsia="Times New Roman" w:hAnsi="Times New Roman" w:cs="Times New Roman"/>
          <w:sz w:val="24"/>
          <w:szCs w:val="24"/>
        </w:rPr>
        <w:t>lju prethodne</w:t>
      </w:r>
      <w:r w:rsidR="005A7BD7" w:rsidRPr="009C4949"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Pr="009C49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758">
        <w:rPr>
          <w:rFonts w:ascii="Times New Roman" w:eastAsia="Times New Roman" w:hAnsi="Times New Roman" w:cs="Times New Roman"/>
          <w:sz w:val="24"/>
          <w:szCs w:val="24"/>
        </w:rPr>
        <w:t xml:space="preserve"> Ostvareni su i ostali prihodi u iznosu od 734,56 eura, a odnose</w:t>
      </w:r>
      <w:r w:rsidR="00EE6758" w:rsidRPr="00EE6758">
        <w:rPr>
          <w:rFonts w:ascii="Times New Roman" w:eastAsia="Times New Roman" w:hAnsi="Times New Roman" w:cs="Times New Roman"/>
          <w:sz w:val="24"/>
          <w:szCs w:val="24"/>
        </w:rPr>
        <w:t xml:space="preserve"> se na naslijeđenu imovinu temeljem Rješenja o nasljeđivanju kojim je određeno da ostavinsku imovinu iza pokojnog u cijelosti nasljeđuje Dom za starije i nemoćne osobe Varaždin. Do sada je od strane HZMO-a uplaćena zadnja mirovina.</w:t>
      </w:r>
      <w:r w:rsidRPr="009C4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CB5">
        <w:rPr>
          <w:rFonts w:ascii="Times New Roman" w:eastAsia="Times New Roman" w:hAnsi="Times New Roman" w:cs="Times New Roman"/>
          <w:sz w:val="24"/>
          <w:szCs w:val="24"/>
        </w:rPr>
        <w:t xml:space="preserve">U izvještajnom </w:t>
      </w:r>
      <w:r w:rsidRPr="008B0C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razdoblju ostvarene su </w:t>
      </w:r>
      <w:r w:rsidR="00820395" w:rsidRPr="008B0CB5">
        <w:rPr>
          <w:rFonts w:ascii="Times New Roman" w:eastAsia="Times New Roman" w:hAnsi="Times New Roman" w:cs="Times New Roman"/>
          <w:sz w:val="24"/>
          <w:szCs w:val="24"/>
        </w:rPr>
        <w:t>i donacije u iznosu od 16.631</w:t>
      </w:r>
      <w:r w:rsidR="005A7BD7" w:rsidRPr="008B0C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0395" w:rsidRPr="008B0CB5">
        <w:rPr>
          <w:rFonts w:ascii="Times New Roman" w:eastAsia="Times New Roman" w:hAnsi="Times New Roman" w:cs="Times New Roman"/>
          <w:sz w:val="24"/>
          <w:szCs w:val="24"/>
        </w:rPr>
        <w:t>65 eura. N</w:t>
      </w:r>
      <w:r w:rsidRPr="008B0CB5">
        <w:rPr>
          <w:rFonts w:ascii="Times New Roman" w:eastAsia="Times New Roman" w:hAnsi="Times New Roman" w:cs="Times New Roman"/>
          <w:sz w:val="24"/>
          <w:szCs w:val="24"/>
        </w:rPr>
        <w:t>ajvećim dijelom ostvarene</w:t>
      </w:r>
      <w:r w:rsidR="00820395" w:rsidRPr="008B0CB5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Pr="008B0CB5">
        <w:rPr>
          <w:rFonts w:ascii="Times New Roman" w:eastAsia="Times New Roman" w:hAnsi="Times New Roman" w:cs="Times New Roman"/>
          <w:sz w:val="24"/>
          <w:szCs w:val="24"/>
        </w:rPr>
        <w:t xml:space="preserve"> od trgovačkih društava,</w:t>
      </w:r>
      <w:r w:rsidR="005A7BD7" w:rsidRPr="008B0CB5">
        <w:rPr>
          <w:rFonts w:ascii="Times New Roman" w:eastAsia="Times New Roman" w:hAnsi="Times New Roman" w:cs="Times New Roman"/>
          <w:sz w:val="24"/>
          <w:szCs w:val="24"/>
        </w:rPr>
        <w:t xml:space="preserve"> neprofitnih organizacija i nešto od fizičkih osoba,</w:t>
      </w:r>
      <w:r w:rsidRPr="008B0CB5">
        <w:rPr>
          <w:rFonts w:ascii="Times New Roman" w:eastAsia="Times New Roman" w:hAnsi="Times New Roman" w:cs="Times New Roman"/>
          <w:sz w:val="24"/>
          <w:szCs w:val="24"/>
        </w:rPr>
        <w:t xml:space="preserve"> a donirane su higijenske potrepštine, madraci,</w:t>
      </w:r>
      <w:r w:rsidR="005A7BD7" w:rsidRPr="008B0CB5">
        <w:rPr>
          <w:rFonts w:ascii="Times New Roman" w:eastAsia="Times New Roman" w:hAnsi="Times New Roman" w:cs="Times New Roman"/>
          <w:sz w:val="24"/>
          <w:szCs w:val="24"/>
        </w:rPr>
        <w:t xml:space="preserve"> kreveti, o</w:t>
      </w:r>
      <w:r w:rsidR="00820395" w:rsidRPr="008B0CB5">
        <w:rPr>
          <w:rFonts w:ascii="Times New Roman" w:eastAsia="Times New Roman" w:hAnsi="Times New Roman" w:cs="Times New Roman"/>
          <w:sz w:val="24"/>
          <w:szCs w:val="24"/>
        </w:rPr>
        <w:t>rmarići, medicinske potrepštine i dr.</w:t>
      </w:r>
    </w:p>
    <w:p w:rsidR="00D664E0" w:rsidRPr="00883356" w:rsidRDefault="008D1382" w:rsidP="0035259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A0606">
        <w:rPr>
          <w:rFonts w:ascii="Times New Roman" w:eastAsia="Times New Roman" w:hAnsi="Times New Roman" w:cs="Times New Roman"/>
          <w:sz w:val="24"/>
          <w:szCs w:val="24"/>
        </w:rPr>
        <w:t xml:space="preserve">Prihodi iz nadležnog proračuna </w:t>
      </w:r>
      <w:r w:rsidR="007A0606" w:rsidRPr="007A0606">
        <w:rPr>
          <w:rFonts w:ascii="Times New Roman" w:eastAsia="Times New Roman" w:hAnsi="Times New Roman" w:cs="Times New Roman"/>
          <w:sz w:val="24"/>
          <w:szCs w:val="24"/>
        </w:rPr>
        <w:t>manji su</w:t>
      </w:r>
      <w:r w:rsidR="00D664E0" w:rsidRPr="007A0606">
        <w:rPr>
          <w:rFonts w:ascii="Times New Roman" w:eastAsia="Times New Roman" w:hAnsi="Times New Roman" w:cs="Times New Roman"/>
          <w:sz w:val="24"/>
          <w:szCs w:val="24"/>
        </w:rPr>
        <w:t xml:space="preserve"> u odnosu na prošlu godinu i iznose </w:t>
      </w:r>
      <w:r w:rsidR="007A0606" w:rsidRPr="007A0606">
        <w:rPr>
          <w:rFonts w:ascii="Times New Roman" w:eastAsia="Times New Roman" w:hAnsi="Times New Roman" w:cs="Times New Roman"/>
          <w:sz w:val="24"/>
          <w:szCs w:val="24"/>
        </w:rPr>
        <w:t>1.408.439,40</w:t>
      </w:r>
      <w:r w:rsidR="00D664E0" w:rsidRPr="007A0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4E0" w:rsidRPr="0075283A">
        <w:rPr>
          <w:rFonts w:ascii="Times New Roman" w:eastAsia="Times New Roman" w:hAnsi="Times New Roman" w:cs="Times New Roman"/>
          <w:sz w:val="24"/>
          <w:szCs w:val="24"/>
        </w:rPr>
        <w:t xml:space="preserve">eura. </w:t>
      </w:r>
      <w:r w:rsidR="002911F1">
        <w:rPr>
          <w:rFonts w:ascii="Times New Roman" w:eastAsia="Times New Roman" w:hAnsi="Times New Roman" w:cs="Times New Roman"/>
          <w:sz w:val="24"/>
          <w:szCs w:val="24"/>
        </w:rPr>
        <w:t>Iz p</w:t>
      </w:r>
      <w:r w:rsidR="00B34821" w:rsidRPr="0075283A">
        <w:rPr>
          <w:rFonts w:ascii="Times New Roman" w:eastAsia="Times New Roman" w:hAnsi="Times New Roman" w:cs="Times New Roman"/>
          <w:sz w:val="24"/>
          <w:szCs w:val="24"/>
        </w:rPr>
        <w:t xml:space="preserve">roračuna Varaždinske županije dobiveno je </w:t>
      </w:r>
      <w:r w:rsidR="0075283A" w:rsidRPr="0075283A">
        <w:rPr>
          <w:rFonts w:ascii="Times New Roman" w:eastAsia="Times New Roman" w:hAnsi="Times New Roman" w:cs="Times New Roman"/>
          <w:sz w:val="24"/>
          <w:szCs w:val="24"/>
        </w:rPr>
        <w:t>582.947,87</w:t>
      </w:r>
      <w:r w:rsidR="0068484E" w:rsidRPr="0075283A">
        <w:rPr>
          <w:rFonts w:ascii="Times New Roman" w:eastAsia="Times New Roman" w:hAnsi="Times New Roman" w:cs="Times New Roman"/>
          <w:sz w:val="24"/>
          <w:szCs w:val="24"/>
        </w:rPr>
        <w:t xml:space="preserve"> eura (izvor financiranja 11). </w:t>
      </w:r>
      <w:r w:rsidR="00D664E0" w:rsidRPr="0075283A">
        <w:rPr>
          <w:rFonts w:ascii="Times New Roman" w:eastAsia="Times New Roman" w:hAnsi="Times New Roman" w:cs="Times New Roman"/>
          <w:sz w:val="24"/>
          <w:szCs w:val="24"/>
        </w:rPr>
        <w:t>T</w:t>
      </w:r>
      <w:r w:rsidR="0075283A" w:rsidRPr="0075283A">
        <w:rPr>
          <w:rFonts w:ascii="Times New Roman" w:eastAsia="Times New Roman" w:hAnsi="Times New Roman" w:cs="Times New Roman"/>
          <w:sz w:val="24"/>
          <w:szCs w:val="24"/>
        </w:rPr>
        <w:t>im sredstvima su u iznosu od 453.304</w:t>
      </w:r>
      <w:r w:rsidR="00D664E0" w:rsidRPr="0075283A">
        <w:rPr>
          <w:rFonts w:ascii="Times New Roman" w:eastAsia="Times New Roman" w:hAnsi="Times New Roman" w:cs="Times New Roman"/>
          <w:sz w:val="24"/>
          <w:szCs w:val="24"/>
        </w:rPr>
        <w:t>,00 eura sufinancirani rashodi za za</w:t>
      </w:r>
      <w:r w:rsidR="0075283A" w:rsidRPr="0075283A">
        <w:rPr>
          <w:rFonts w:ascii="Times New Roman" w:eastAsia="Times New Roman" w:hAnsi="Times New Roman" w:cs="Times New Roman"/>
          <w:sz w:val="24"/>
          <w:szCs w:val="24"/>
        </w:rPr>
        <w:t>poslene u Domu, sa iznosom od 15.000</w:t>
      </w:r>
      <w:r w:rsidR="00D664E0" w:rsidRPr="0075283A">
        <w:rPr>
          <w:rFonts w:ascii="Times New Roman" w:eastAsia="Times New Roman" w:hAnsi="Times New Roman" w:cs="Times New Roman"/>
          <w:sz w:val="24"/>
          <w:szCs w:val="24"/>
        </w:rPr>
        <w:t>,00 eura sufinancirala se plaća medic</w:t>
      </w:r>
      <w:r w:rsidR="0068484E" w:rsidRPr="0075283A">
        <w:rPr>
          <w:rFonts w:ascii="Times New Roman" w:eastAsia="Times New Roman" w:hAnsi="Times New Roman" w:cs="Times New Roman"/>
          <w:sz w:val="24"/>
          <w:szCs w:val="24"/>
        </w:rPr>
        <w:t xml:space="preserve">inske sestre u Dnevnom centru, </w:t>
      </w:r>
      <w:r w:rsidR="00D664E0" w:rsidRPr="0075283A">
        <w:rPr>
          <w:rFonts w:ascii="Times New Roman" w:eastAsia="Times New Roman" w:hAnsi="Times New Roman" w:cs="Times New Roman"/>
          <w:sz w:val="24"/>
          <w:szCs w:val="24"/>
        </w:rPr>
        <w:t>u cijelosti je financirana otplata glavnica oba kredita u iznosu od 107.865,88 eura</w:t>
      </w:r>
      <w:r w:rsidR="0075283A" w:rsidRPr="0075283A">
        <w:rPr>
          <w:rFonts w:ascii="Times New Roman" w:eastAsia="Times New Roman" w:hAnsi="Times New Roman" w:cs="Times New Roman"/>
          <w:sz w:val="24"/>
          <w:szCs w:val="24"/>
        </w:rPr>
        <w:t xml:space="preserve"> i kamate na kredite u iznosu od 6.777,99</w:t>
      </w:r>
      <w:r w:rsidR="0075283A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</w:p>
    <w:p w:rsidR="00914FB2" w:rsidRPr="00C73677" w:rsidRDefault="00E4391B" w:rsidP="00914F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1F8">
        <w:rPr>
          <w:rFonts w:ascii="Times New Roman" w:eastAsia="Times New Roman" w:hAnsi="Times New Roman" w:cs="Times New Roman"/>
          <w:sz w:val="24"/>
          <w:szCs w:val="24"/>
        </w:rPr>
        <w:t>Decentralizirana sredstva (izvor financiranja 44</w:t>
      </w:r>
      <w:r w:rsidR="007811F8" w:rsidRPr="007811F8">
        <w:rPr>
          <w:rFonts w:ascii="Times New Roman" w:eastAsia="Times New Roman" w:hAnsi="Times New Roman" w:cs="Times New Roman"/>
          <w:sz w:val="24"/>
          <w:szCs w:val="24"/>
        </w:rPr>
        <w:t>) ostvarena su u iznosu od 825.491,53 eura i znatno su manja</w:t>
      </w:r>
      <w:r w:rsidRPr="007811F8">
        <w:rPr>
          <w:rFonts w:ascii="Times New Roman" w:eastAsia="Times New Roman" w:hAnsi="Times New Roman" w:cs="Times New Roman"/>
          <w:sz w:val="24"/>
          <w:szCs w:val="24"/>
        </w:rPr>
        <w:t xml:space="preserve"> u odnosu na prošlu godinu.</w:t>
      </w:r>
      <w:r w:rsidR="00A75620" w:rsidRPr="007811F8">
        <w:rPr>
          <w:rFonts w:ascii="Times New Roman" w:eastAsia="Times New Roman" w:hAnsi="Times New Roman" w:cs="Times New Roman"/>
          <w:sz w:val="24"/>
          <w:szCs w:val="24"/>
        </w:rPr>
        <w:t xml:space="preserve"> Prema Odluci o minimalnim financijskim </w:t>
      </w:r>
      <w:r w:rsidR="00A75620" w:rsidRPr="00C73677">
        <w:rPr>
          <w:rFonts w:ascii="Times New Roman" w:eastAsia="Times New Roman" w:hAnsi="Times New Roman" w:cs="Times New Roman"/>
          <w:sz w:val="24"/>
          <w:szCs w:val="24"/>
        </w:rPr>
        <w:t>standardima, kriterijima i mjerilima za decentralizirano financiranj</w:t>
      </w:r>
      <w:r w:rsidR="007811F8" w:rsidRPr="00C73677">
        <w:rPr>
          <w:rFonts w:ascii="Times New Roman" w:eastAsia="Times New Roman" w:hAnsi="Times New Roman" w:cs="Times New Roman"/>
          <w:sz w:val="24"/>
          <w:szCs w:val="24"/>
        </w:rPr>
        <w:t>e domova za starije osobe u 2025</w:t>
      </w:r>
      <w:r w:rsidR="00A75620" w:rsidRPr="00C73677">
        <w:rPr>
          <w:rFonts w:ascii="Times New Roman" w:eastAsia="Times New Roman" w:hAnsi="Times New Roman" w:cs="Times New Roman"/>
          <w:sz w:val="24"/>
          <w:szCs w:val="24"/>
        </w:rPr>
        <w:t xml:space="preserve">. godini </w:t>
      </w:r>
      <w:r w:rsidR="007811F8" w:rsidRPr="00C73677">
        <w:rPr>
          <w:rFonts w:ascii="Times New Roman" w:eastAsia="Times New Roman" w:hAnsi="Times New Roman" w:cs="Times New Roman"/>
          <w:sz w:val="24"/>
          <w:szCs w:val="24"/>
        </w:rPr>
        <w:t>Domu je dodijeljeno 748.417</w:t>
      </w:r>
      <w:r w:rsidR="00A75620" w:rsidRPr="00C73677">
        <w:rPr>
          <w:rFonts w:ascii="Times New Roman" w:eastAsia="Times New Roman" w:hAnsi="Times New Roman" w:cs="Times New Roman"/>
          <w:sz w:val="24"/>
          <w:szCs w:val="24"/>
        </w:rPr>
        <w:t>,00 eura. Time su financirani rash</w:t>
      </w:r>
      <w:r w:rsidR="00C73677" w:rsidRPr="00C73677">
        <w:rPr>
          <w:rFonts w:ascii="Times New Roman" w:eastAsia="Times New Roman" w:hAnsi="Times New Roman" w:cs="Times New Roman"/>
          <w:sz w:val="24"/>
          <w:szCs w:val="24"/>
        </w:rPr>
        <w:t>odi za zaposlene u iznosu od 715.237</w:t>
      </w:r>
      <w:r w:rsidR="00A75620" w:rsidRPr="00C73677">
        <w:rPr>
          <w:rFonts w:ascii="Times New Roman" w:eastAsia="Times New Roman" w:hAnsi="Times New Roman" w:cs="Times New Roman"/>
          <w:sz w:val="24"/>
          <w:szCs w:val="24"/>
        </w:rPr>
        <w:t>,00 eura, hitne</w:t>
      </w:r>
      <w:r w:rsidR="00C73677" w:rsidRPr="00C73677">
        <w:rPr>
          <w:rFonts w:ascii="Times New Roman" w:eastAsia="Times New Roman" w:hAnsi="Times New Roman" w:cs="Times New Roman"/>
          <w:sz w:val="24"/>
          <w:szCs w:val="24"/>
        </w:rPr>
        <w:t xml:space="preserve"> intervencije u iznosu od 19.881,35</w:t>
      </w:r>
      <w:r w:rsidR="00A75620" w:rsidRPr="00C73677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C73677" w:rsidRPr="00C73677">
        <w:rPr>
          <w:rFonts w:ascii="Times New Roman" w:eastAsia="Times New Roman" w:hAnsi="Times New Roman" w:cs="Times New Roman"/>
          <w:sz w:val="24"/>
          <w:szCs w:val="24"/>
        </w:rPr>
        <w:t>, a u iznosu od 13.260,74</w:t>
      </w:r>
      <w:r w:rsidR="00FB19C7" w:rsidRPr="00C73677">
        <w:rPr>
          <w:rFonts w:ascii="Times New Roman" w:eastAsia="Times New Roman" w:hAnsi="Times New Roman" w:cs="Times New Roman"/>
          <w:sz w:val="24"/>
          <w:szCs w:val="24"/>
        </w:rPr>
        <w:t xml:space="preserve"> eura kupljena je nefinancijska imovina koja je planirana Popisom prioriteta za</w:t>
      </w:r>
      <w:r w:rsidR="00C73677" w:rsidRPr="00C73677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B19C7" w:rsidRPr="00C73677">
        <w:rPr>
          <w:rFonts w:ascii="Times New Roman" w:eastAsia="Times New Roman" w:hAnsi="Times New Roman" w:cs="Times New Roman"/>
          <w:sz w:val="24"/>
          <w:szCs w:val="24"/>
        </w:rPr>
        <w:t xml:space="preserve">. godinu. </w:t>
      </w:r>
      <w:r w:rsidR="000A1A54" w:rsidRPr="000A1A54">
        <w:rPr>
          <w:rFonts w:ascii="Times New Roman" w:eastAsia="Times New Roman" w:hAnsi="Times New Roman" w:cs="Times New Roman"/>
          <w:sz w:val="24"/>
          <w:szCs w:val="24"/>
        </w:rPr>
        <w:t>Varaždinska županija je iz dodatnog udje</w:t>
      </w:r>
      <w:r w:rsidR="000A1A54">
        <w:rPr>
          <w:rFonts w:ascii="Times New Roman" w:eastAsia="Times New Roman" w:hAnsi="Times New Roman" w:cs="Times New Roman"/>
          <w:sz w:val="24"/>
          <w:szCs w:val="24"/>
        </w:rPr>
        <w:t>la poreza na dohodak za 2024. godinu</w:t>
      </w:r>
      <w:r w:rsidR="000A1A54" w:rsidRPr="000A1A54">
        <w:rPr>
          <w:rFonts w:ascii="Times New Roman" w:eastAsia="Times New Roman" w:hAnsi="Times New Roman" w:cs="Times New Roman"/>
          <w:sz w:val="24"/>
          <w:szCs w:val="24"/>
        </w:rPr>
        <w:t xml:space="preserve"> ostvarila više sredstava od minimalnog financijskog standarda koji je utvrđen te je temeljem Odluke o raspodjeli rezultata Varaždinske županije za 2024. godinu i načinu korištenja viška prihoda („Službeni vjesnik V</w:t>
      </w:r>
      <w:r w:rsidR="00C014CE">
        <w:rPr>
          <w:rFonts w:ascii="Times New Roman" w:eastAsia="Times New Roman" w:hAnsi="Times New Roman" w:cs="Times New Roman"/>
          <w:sz w:val="24"/>
          <w:szCs w:val="24"/>
        </w:rPr>
        <w:t>araždinske županije“ broj 66/25</w:t>
      </w:r>
      <w:r w:rsidR="000A1A54" w:rsidRPr="000A1A54">
        <w:rPr>
          <w:rFonts w:ascii="Times New Roman" w:eastAsia="Times New Roman" w:hAnsi="Times New Roman" w:cs="Times New Roman"/>
          <w:sz w:val="24"/>
          <w:szCs w:val="24"/>
        </w:rPr>
        <w:t>) Domu dodijeljeno dodatnih 77.112,44 eura. Tim sredstvima financirani su rashodi za zaposlene.</w:t>
      </w:r>
    </w:p>
    <w:p w:rsidR="00C73677" w:rsidRPr="00914FB2" w:rsidRDefault="00C73677" w:rsidP="00914F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4E0" w:rsidRPr="00D664E0" w:rsidRDefault="00D664E0" w:rsidP="00D664E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bookmarkStart w:id="4" w:name="_Toc159483632"/>
      <w:r w:rsidRPr="00D664E0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2.1. STANJE NOVČANIH SREDSTAVA NA RAČUNU</w:t>
      </w:r>
      <w:bookmarkEnd w:id="4"/>
    </w:p>
    <w:p w:rsidR="00D664E0" w:rsidRPr="00D664E0" w:rsidRDefault="00D664E0" w:rsidP="00D664E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16"/>
        </w:rPr>
      </w:pPr>
    </w:p>
    <w:p w:rsidR="00D664E0" w:rsidRPr="00542470" w:rsidRDefault="00D664E0" w:rsidP="00352596">
      <w:pPr>
        <w:spacing w:after="12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highlight w:val="yellow"/>
          <w:lang w:eastAsia="hr-HR"/>
        </w:rPr>
      </w:pPr>
      <w:r w:rsidRPr="00434A65">
        <w:rPr>
          <w:rFonts w:ascii="Times New Roman" w:eastAsia="Times New Roman" w:hAnsi="Times New Roman" w:cs="Times New Roman"/>
          <w:sz w:val="24"/>
          <w:szCs w:val="24"/>
        </w:rPr>
        <w:t>Stanje novčanih sredstava na računu na</w:t>
      </w:r>
      <w:r w:rsidR="00434A65" w:rsidRPr="00434A65">
        <w:rPr>
          <w:rFonts w:ascii="Times New Roman" w:eastAsia="Times New Roman" w:hAnsi="Times New Roman" w:cs="Times New Roman"/>
          <w:sz w:val="24"/>
          <w:szCs w:val="24"/>
        </w:rPr>
        <w:t xml:space="preserve"> početku 2025. godine bilo je 412.205</w:t>
      </w:r>
      <w:r w:rsidR="00880414" w:rsidRPr="00434A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4A65" w:rsidRPr="00542470">
        <w:rPr>
          <w:rFonts w:ascii="Times New Roman" w:eastAsia="Times New Roman" w:hAnsi="Times New Roman" w:cs="Times New Roman"/>
          <w:sz w:val="24"/>
          <w:szCs w:val="24"/>
        </w:rPr>
        <w:t>58</w:t>
      </w:r>
      <w:r w:rsidR="00880414" w:rsidRPr="00542470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434A65" w:rsidRPr="00542470">
        <w:rPr>
          <w:rFonts w:ascii="Times New Roman" w:eastAsia="Times New Roman" w:hAnsi="Times New Roman" w:cs="Times New Roman"/>
          <w:sz w:val="24"/>
          <w:szCs w:val="24"/>
        </w:rPr>
        <w:t>, a na kraju 2025</w:t>
      </w:r>
      <w:r w:rsidR="00542470" w:rsidRPr="00542470">
        <w:rPr>
          <w:rFonts w:ascii="Times New Roman" w:eastAsia="Times New Roman" w:hAnsi="Times New Roman" w:cs="Times New Roman"/>
          <w:sz w:val="24"/>
          <w:szCs w:val="24"/>
        </w:rPr>
        <w:t>. godine iznosi 363.013,02</w:t>
      </w:r>
      <w:r w:rsidRPr="00542470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</w:p>
    <w:p w:rsidR="00D664E0" w:rsidRPr="00D664E0" w:rsidRDefault="00D664E0" w:rsidP="003E4BA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D664E0" w:rsidRPr="00D664E0" w:rsidRDefault="00D664E0" w:rsidP="00D664E0">
      <w:pPr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</w:pPr>
      <w:bookmarkStart w:id="5" w:name="_Toc159483633"/>
      <w:r w:rsidRPr="00D664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  <w:t>RASHODI I IZDACI</w:t>
      </w:r>
      <w:bookmarkEnd w:id="5"/>
      <w:r w:rsidRPr="00D664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  <w:t xml:space="preserve"> </w:t>
      </w:r>
    </w:p>
    <w:p w:rsidR="00D664E0" w:rsidRPr="00D664E0" w:rsidRDefault="00D664E0" w:rsidP="00D664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664E0" w:rsidRPr="00B819B2" w:rsidRDefault="00D65E65" w:rsidP="0035259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9B2">
        <w:rPr>
          <w:rFonts w:ascii="Times New Roman" w:eastAsia="Times New Roman" w:hAnsi="Times New Roman" w:cs="Times New Roman"/>
          <w:sz w:val="24"/>
          <w:szCs w:val="24"/>
        </w:rPr>
        <w:t>U 2025</w:t>
      </w:r>
      <w:r w:rsidR="00D664E0" w:rsidRPr="00B819B2">
        <w:rPr>
          <w:rFonts w:ascii="Times New Roman" w:eastAsia="Times New Roman" w:hAnsi="Times New Roman" w:cs="Times New Roman"/>
          <w:sz w:val="24"/>
          <w:szCs w:val="24"/>
        </w:rPr>
        <w:t xml:space="preserve">. godini ukupni rashodi i </w:t>
      </w:r>
      <w:r w:rsidR="007D552D" w:rsidRPr="00B819B2">
        <w:rPr>
          <w:rFonts w:ascii="Times New Roman" w:eastAsia="Times New Roman" w:hAnsi="Times New Roman" w:cs="Times New Roman"/>
          <w:sz w:val="24"/>
          <w:szCs w:val="24"/>
        </w:rPr>
        <w:t>izda</w:t>
      </w:r>
      <w:r w:rsidRPr="00B819B2">
        <w:rPr>
          <w:rFonts w:ascii="Times New Roman" w:eastAsia="Times New Roman" w:hAnsi="Times New Roman" w:cs="Times New Roman"/>
          <w:sz w:val="24"/>
          <w:szCs w:val="24"/>
        </w:rPr>
        <w:t>ci izvršeni su u iznosu od 4.403.998,24 eura, što je za 2,09</w:t>
      </w:r>
      <w:r w:rsidR="007D552D" w:rsidRPr="00B819B2">
        <w:rPr>
          <w:rFonts w:ascii="Times New Roman" w:eastAsia="Times New Roman" w:hAnsi="Times New Roman" w:cs="Times New Roman"/>
          <w:sz w:val="24"/>
          <w:szCs w:val="24"/>
        </w:rPr>
        <w:t>% više od godišnjeg plana</w:t>
      </w:r>
      <w:r w:rsidR="00B819B2" w:rsidRPr="00B819B2">
        <w:rPr>
          <w:rFonts w:ascii="Times New Roman" w:eastAsia="Times New Roman" w:hAnsi="Times New Roman" w:cs="Times New Roman"/>
          <w:sz w:val="24"/>
          <w:szCs w:val="24"/>
        </w:rPr>
        <w:t>, ali 2,74% manje</w:t>
      </w:r>
      <w:r w:rsidR="00D664E0" w:rsidRPr="00B819B2">
        <w:rPr>
          <w:rFonts w:ascii="Times New Roman" w:eastAsia="Times New Roman" w:hAnsi="Times New Roman" w:cs="Times New Roman"/>
          <w:sz w:val="24"/>
          <w:szCs w:val="24"/>
        </w:rPr>
        <w:t xml:space="preserve"> u odnosu na godinu ranije.</w:t>
      </w:r>
    </w:p>
    <w:p w:rsidR="00D664E0" w:rsidRPr="00883356" w:rsidRDefault="00D664E0" w:rsidP="00D664E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  <w:lang w:eastAsia="hr-HR"/>
        </w:rPr>
      </w:pPr>
    </w:p>
    <w:p w:rsidR="00D664E0" w:rsidRPr="00D664E0" w:rsidRDefault="00D664E0" w:rsidP="00D664E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bookmarkStart w:id="6" w:name="_Toc159483634"/>
      <w:r w:rsidRPr="00D664E0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3.1. RASHODI ZA ZAPOSLENE</w:t>
      </w:r>
      <w:bookmarkEnd w:id="6"/>
      <w:r w:rsidRPr="00D664E0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 xml:space="preserve"> </w:t>
      </w:r>
    </w:p>
    <w:p w:rsidR="00D664E0" w:rsidRPr="00D664E0" w:rsidRDefault="00D664E0" w:rsidP="00D664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73103" w:rsidRPr="00F7128B" w:rsidRDefault="00673103" w:rsidP="0067310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789">
        <w:rPr>
          <w:rFonts w:ascii="Times New Roman" w:eastAsia="Times New Roman" w:hAnsi="Times New Roman" w:cs="Times New Roman"/>
          <w:sz w:val="24"/>
          <w:szCs w:val="24"/>
        </w:rPr>
        <w:t>Rashode za zaposlene čine plaće (bruto), ostali rashodi za zaposlene i doprinosi na plaće</w:t>
      </w:r>
      <w:r w:rsidRPr="004262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4FC4" w:rsidRPr="004262C5">
        <w:t xml:space="preserve"> </w:t>
      </w:r>
      <w:r w:rsidR="004262C5" w:rsidRPr="004262C5">
        <w:rPr>
          <w:rFonts w:ascii="Times New Roman" w:eastAsia="Times New Roman" w:hAnsi="Times New Roman" w:cs="Times New Roman"/>
          <w:sz w:val="24"/>
          <w:szCs w:val="24"/>
        </w:rPr>
        <w:t>U 2025</w:t>
      </w:r>
      <w:r w:rsidR="00774FC4" w:rsidRPr="004262C5">
        <w:rPr>
          <w:rFonts w:ascii="Times New Roman" w:eastAsia="Times New Roman" w:hAnsi="Times New Roman" w:cs="Times New Roman"/>
          <w:sz w:val="24"/>
          <w:szCs w:val="24"/>
        </w:rPr>
        <w:t>. godi</w:t>
      </w:r>
      <w:r w:rsidR="004262C5" w:rsidRPr="004262C5">
        <w:rPr>
          <w:rFonts w:ascii="Times New Roman" w:eastAsia="Times New Roman" w:hAnsi="Times New Roman" w:cs="Times New Roman"/>
          <w:sz w:val="24"/>
          <w:szCs w:val="24"/>
        </w:rPr>
        <w:t>ni oni su izvršeni u iznosu od 3.186.717,71 eura što je za 7,5</w:t>
      </w:r>
      <w:r w:rsidR="00774FC4" w:rsidRPr="004262C5">
        <w:rPr>
          <w:rFonts w:ascii="Times New Roman" w:eastAsia="Times New Roman" w:hAnsi="Times New Roman" w:cs="Times New Roman"/>
          <w:sz w:val="24"/>
          <w:szCs w:val="24"/>
        </w:rPr>
        <w:t xml:space="preserve">% više u odnosu na </w:t>
      </w:r>
      <w:r w:rsidR="00774FC4" w:rsidRPr="00326699">
        <w:rPr>
          <w:rFonts w:ascii="Times New Roman" w:eastAsia="Times New Roman" w:hAnsi="Times New Roman" w:cs="Times New Roman"/>
          <w:sz w:val="24"/>
          <w:szCs w:val="24"/>
        </w:rPr>
        <w:t xml:space="preserve">prethodnu godinu. </w:t>
      </w:r>
      <w:r w:rsidRPr="00326699">
        <w:rPr>
          <w:rFonts w:ascii="Times New Roman" w:eastAsia="Times New Roman" w:hAnsi="Times New Roman" w:cs="Times New Roman"/>
          <w:sz w:val="24"/>
          <w:szCs w:val="24"/>
        </w:rPr>
        <w:t xml:space="preserve">Rashodi za zaposlene financiraju se iz više izvora financiranja. </w:t>
      </w:r>
      <w:r w:rsidR="00AD6BDC" w:rsidRPr="00326699">
        <w:rPr>
          <w:rFonts w:ascii="Times New Roman" w:eastAsia="Times New Roman" w:hAnsi="Times New Roman" w:cs="Times New Roman"/>
          <w:sz w:val="24"/>
          <w:szCs w:val="24"/>
        </w:rPr>
        <w:t>Tako su</w:t>
      </w:r>
      <w:r w:rsidRPr="00326699">
        <w:rPr>
          <w:rFonts w:ascii="Times New Roman" w:eastAsia="Times New Roman" w:hAnsi="Times New Roman" w:cs="Times New Roman"/>
          <w:sz w:val="24"/>
          <w:szCs w:val="24"/>
        </w:rPr>
        <w:t xml:space="preserve"> iz izvora 11 (opći prihodi i primici – županijs</w:t>
      </w:r>
      <w:r w:rsidR="00AD6BDC" w:rsidRPr="00326699">
        <w:rPr>
          <w:rFonts w:ascii="Times New Roman" w:eastAsia="Times New Roman" w:hAnsi="Times New Roman" w:cs="Times New Roman"/>
          <w:sz w:val="24"/>
          <w:szCs w:val="24"/>
        </w:rPr>
        <w:t>ki proračun) dijelom financirane</w:t>
      </w:r>
      <w:r w:rsidRPr="00326699">
        <w:rPr>
          <w:rFonts w:ascii="Times New Roman" w:eastAsia="Times New Roman" w:hAnsi="Times New Roman" w:cs="Times New Roman"/>
          <w:sz w:val="24"/>
          <w:szCs w:val="24"/>
        </w:rPr>
        <w:t xml:space="preserve"> plaće (bruto) za 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>Dnevni centar</w:t>
      </w:r>
      <w:r w:rsidR="00326699" w:rsidRPr="00F7128B">
        <w:rPr>
          <w:rFonts w:ascii="Times New Roman" w:eastAsia="Times New Roman" w:hAnsi="Times New Roman" w:cs="Times New Roman"/>
          <w:sz w:val="24"/>
          <w:szCs w:val="24"/>
        </w:rPr>
        <w:t xml:space="preserve"> u iznosu od 13.500,00</w:t>
      </w:r>
      <w:r w:rsidR="00F41BEA" w:rsidRPr="00F7128B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 xml:space="preserve"> te doprinosi na plaće</w:t>
      </w:r>
      <w:r w:rsidR="00326699" w:rsidRPr="00F7128B">
        <w:rPr>
          <w:rFonts w:ascii="Times New Roman" w:eastAsia="Times New Roman" w:hAnsi="Times New Roman" w:cs="Times New Roman"/>
          <w:sz w:val="24"/>
          <w:szCs w:val="24"/>
        </w:rPr>
        <w:t xml:space="preserve"> u iznosu od 1.500,00</w:t>
      </w:r>
      <w:r w:rsidR="00AD6BDC" w:rsidRPr="00F7128B">
        <w:rPr>
          <w:rFonts w:ascii="Times New Roman" w:eastAsia="Times New Roman" w:hAnsi="Times New Roman" w:cs="Times New Roman"/>
          <w:sz w:val="24"/>
          <w:szCs w:val="24"/>
        </w:rPr>
        <w:t xml:space="preserve"> eura. </w:t>
      </w:r>
      <w:r w:rsidR="00690277" w:rsidRPr="00F7128B">
        <w:rPr>
          <w:rFonts w:ascii="Times New Roman" w:eastAsia="Times New Roman" w:hAnsi="Times New Roman" w:cs="Times New Roman"/>
          <w:sz w:val="24"/>
          <w:szCs w:val="24"/>
        </w:rPr>
        <w:t>Iz izvora 11 sufinancirale su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 xml:space="preserve"> se i plaće (br</w:t>
      </w:r>
      <w:r w:rsidR="00690277" w:rsidRPr="00F7128B">
        <w:rPr>
          <w:rFonts w:ascii="Times New Roman" w:eastAsia="Times New Roman" w:hAnsi="Times New Roman" w:cs="Times New Roman"/>
          <w:sz w:val="24"/>
          <w:szCs w:val="24"/>
        </w:rPr>
        <w:t xml:space="preserve">uto) </w:t>
      </w:r>
      <w:r w:rsidR="00F7128B" w:rsidRPr="00F7128B">
        <w:rPr>
          <w:rFonts w:ascii="Times New Roman" w:eastAsia="Times New Roman" w:hAnsi="Times New Roman" w:cs="Times New Roman"/>
          <w:sz w:val="24"/>
          <w:szCs w:val="24"/>
        </w:rPr>
        <w:t>zaposlenika Doma u iznosu od 373.304,00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 xml:space="preserve"> eura te </w:t>
      </w:r>
      <w:r w:rsidR="00690277" w:rsidRPr="00F7128B">
        <w:rPr>
          <w:rFonts w:ascii="Times New Roman" w:eastAsia="Times New Roman" w:hAnsi="Times New Roman" w:cs="Times New Roman"/>
          <w:sz w:val="24"/>
          <w:szCs w:val="24"/>
        </w:rPr>
        <w:t>d</w:t>
      </w:r>
      <w:r w:rsidR="00F7128B" w:rsidRPr="00F7128B">
        <w:rPr>
          <w:rFonts w:ascii="Times New Roman" w:eastAsia="Times New Roman" w:hAnsi="Times New Roman" w:cs="Times New Roman"/>
          <w:sz w:val="24"/>
          <w:szCs w:val="24"/>
        </w:rPr>
        <w:t>oprinosi na plaću u iznosu od 80.000,00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 xml:space="preserve"> eura. Iz izvora 43 (ostali prihodi za posebne namjene) financirale su se plaće (bruto) u iznosu od </w:t>
      </w:r>
      <w:r w:rsidR="00F7128B" w:rsidRPr="00F7128B">
        <w:rPr>
          <w:rFonts w:ascii="Times New Roman" w:eastAsia="Times New Roman" w:hAnsi="Times New Roman" w:cs="Times New Roman"/>
          <w:sz w:val="24"/>
          <w:szCs w:val="24"/>
        </w:rPr>
        <w:t>1.554.061,3</w:t>
      </w:r>
      <w:r w:rsidR="00690277" w:rsidRPr="00F712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 xml:space="preserve"> eura, ostali ra</w:t>
      </w:r>
      <w:r w:rsidR="00690277" w:rsidRPr="00F7128B">
        <w:rPr>
          <w:rFonts w:ascii="Times New Roman" w:eastAsia="Times New Roman" w:hAnsi="Times New Roman" w:cs="Times New Roman"/>
          <w:sz w:val="24"/>
          <w:szCs w:val="24"/>
        </w:rPr>
        <w:t>shodi za zaposlene u iznos</w:t>
      </w:r>
      <w:r w:rsidR="00F7128B" w:rsidRPr="00F7128B">
        <w:rPr>
          <w:rFonts w:ascii="Times New Roman" w:eastAsia="Times New Roman" w:hAnsi="Times New Roman" w:cs="Times New Roman"/>
          <w:sz w:val="24"/>
          <w:szCs w:val="24"/>
        </w:rPr>
        <w:t>u od 152.023,60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 xml:space="preserve"> eura i doprinosi na plaće u iznosu od </w:t>
      </w:r>
      <w:r w:rsidR="00F7128B" w:rsidRPr="00F7128B">
        <w:rPr>
          <w:rFonts w:ascii="Times New Roman" w:eastAsia="Times New Roman" w:hAnsi="Times New Roman" w:cs="Times New Roman"/>
          <w:sz w:val="24"/>
          <w:szCs w:val="24"/>
        </w:rPr>
        <w:t>219.979,32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 xml:space="preserve"> eura, odnosno u izvještajnom razdoblju na navedeno je ukupno utrošeno </w:t>
      </w:r>
      <w:r w:rsidR="00F7128B" w:rsidRPr="00F7128B">
        <w:rPr>
          <w:rFonts w:ascii="Times New Roman" w:eastAsia="Times New Roman" w:hAnsi="Times New Roman" w:cs="Times New Roman"/>
          <w:sz w:val="24"/>
          <w:szCs w:val="24"/>
        </w:rPr>
        <w:t>1.926.064,27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  <w:r w:rsidRPr="008833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 xml:space="preserve">Iz 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lastRenderedPageBreak/>
        <w:t>izvora 44 (decentralizirana sredstva) dijelom su se financira</w:t>
      </w:r>
      <w:r w:rsidR="00F7128B" w:rsidRPr="00F7128B">
        <w:rPr>
          <w:rFonts w:ascii="Times New Roman" w:eastAsia="Times New Roman" w:hAnsi="Times New Roman" w:cs="Times New Roman"/>
          <w:sz w:val="24"/>
          <w:szCs w:val="24"/>
        </w:rPr>
        <w:t>le plaće (bruto) u iznosu od 685.237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>,00 eura i d</w:t>
      </w:r>
      <w:r w:rsidR="00690277" w:rsidRPr="00F7128B">
        <w:rPr>
          <w:rFonts w:ascii="Times New Roman" w:eastAsia="Times New Roman" w:hAnsi="Times New Roman" w:cs="Times New Roman"/>
          <w:sz w:val="24"/>
          <w:szCs w:val="24"/>
        </w:rPr>
        <w:t>o</w:t>
      </w:r>
      <w:r w:rsidR="00F7128B" w:rsidRPr="00F7128B">
        <w:rPr>
          <w:rFonts w:ascii="Times New Roman" w:eastAsia="Times New Roman" w:hAnsi="Times New Roman" w:cs="Times New Roman"/>
          <w:sz w:val="24"/>
          <w:szCs w:val="24"/>
        </w:rPr>
        <w:t>prinosi na plaće u iznosu od 107.112,44</w:t>
      </w:r>
      <w:r w:rsidRPr="00F7128B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</w:p>
    <w:p w:rsidR="00DD04DD" w:rsidRPr="00DD04DD" w:rsidRDefault="00E672FE" w:rsidP="00F84B3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0">
        <w:rPr>
          <w:rFonts w:ascii="Times New Roman" w:eastAsia="Times New Roman" w:hAnsi="Times New Roman" w:cs="Times New Roman"/>
          <w:sz w:val="24"/>
          <w:szCs w:val="24"/>
        </w:rPr>
        <w:t>U razdoblju od 01.01.-31.12</w:t>
      </w:r>
      <w:r w:rsidR="00B641B0" w:rsidRPr="00B641B0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673103" w:rsidRPr="00B641B0">
        <w:rPr>
          <w:rFonts w:ascii="Times New Roman" w:eastAsia="Times New Roman" w:hAnsi="Times New Roman" w:cs="Times New Roman"/>
          <w:sz w:val="24"/>
          <w:szCs w:val="24"/>
        </w:rPr>
        <w:t xml:space="preserve">. vidljivo je već spomenuto povećanje rashoda za </w:t>
      </w:r>
      <w:r w:rsidR="00673103" w:rsidRPr="00DD04DD">
        <w:rPr>
          <w:rFonts w:ascii="Times New Roman" w:eastAsia="Times New Roman" w:hAnsi="Times New Roman" w:cs="Times New Roman"/>
          <w:sz w:val="24"/>
          <w:szCs w:val="24"/>
        </w:rPr>
        <w:t>zaposlene u odnosu na isto razdoblje prethodne godine.</w:t>
      </w:r>
      <w:r w:rsidR="00DD04DD" w:rsidRPr="00DD04DD">
        <w:rPr>
          <w:rFonts w:ascii="Times New Roman" w:eastAsia="Times New Roman" w:hAnsi="Times New Roman" w:cs="Times New Roman"/>
          <w:sz w:val="24"/>
          <w:szCs w:val="24"/>
        </w:rPr>
        <w:t xml:space="preserve"> Jedan od</w:t>
      </w:r>
      <w:r w:rsidR="00673103" w:rsidRPr="00DD0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4DD" w:rsidRPr="00DD0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673103" w:rsidRPr="00DD04DD">
        <w:rPr>
          <w:rFonts w:ascii="Times New Roman" w:eastAsia="Times New Roman" w:hAnsi="Times New Roman" w:cs="Times New Roman"/>
          <w:sz w:val="24"/>
          <w:szCs w:val="24"/>
        </w:rPr>
        <w:t>azlog</w:t>
      </w:r>
      <w:r w:rsidR="00DD04DD" w:rsidRPr="00DD04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673103" w:rsidRPr="00DD04DD">
        <w:rPr>
          <w:rFonts w:ascii="Times New Roman" w:eastAsia="Times New Roman" w:hAnsi="Times New Roman" w:cs="Times New Roman"/>
          <w:sz w:val="24"/>
          <w:szCs w:val="24"/>
        </w:rPr>
        <w:t xml:space="preserve"> tome je što je od 01. ožujka 2024. godine na snagu stupila nova Uredba o nazivima radnih mjesta i koeficijentima složenosti poslova u javnim službama (NN 22/24), temeljem koje su</w:t>
      </w:r>
      <w:r w:rsidR="00DD04DD" w:rsidRPr="00DD04DD">
        <w:rPr>
          <w:rFonts w:ascii="Times New Roman" w:eastAsia="Times New Roman" w:hAnsi="Times New Roman" w:cs="Times New Roman"/>
          <w:sz w:val="24"/>
          <w:szCs w:val="24"/>
        </w:rPr>
        <w:t xml:space="preserve"> nam</w:t>
      </w:r>
      <w:r w:rsidR="00673103" w:rsidRPr="00DD04DD">
        <w:rPr>
          <w:rFonts w:ascii="Times New Roman" w:eastAsia="Times New Roman" w:hAnsi="Times New Roman" w:cs="Times New Roman"/>
          <w:sz w:val="24"/>
          <w:szCs w:val="24"/>
        </w:rPr>
        <w:t xml:space="preserve"> bruto plaće i doprinosi na plaće mjesečno znatno povećani</w:t>
      </w:r>
      <w:r w:rsidRPr="00DD04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04DD" w:rsidRPr="00DD04DD">
        <w:rPr>
          <w:rFonts w:ascii="Times New Roman" w:eastAsia="Times New Roman" w:hAnsi="Times New Roman" w:cs="Times New Roman"/>
          <w:sz w:val="24"/>
          <w:szCs w:val="24"/>
        </w:rPr>
        <w:t>Nadalje, uvećana je osnovica za izračun plaće za 3% od 01.02.2025. (plaća za veljaču, isplata u ožujku) te dodatnih 3% od 01.09.2025. (plaća za rujan, isplata u listopadu). U izvještajnom razdoblju, zbog povećanog opsega poslova su zaposlene i neke osobe na određenim radnim mjestima.</w:t>
      </w:r>
    </w:p>
    <w:p w:rsidR="00352596" w:rsidRDefault="00352596" w:rsidP="003E4BA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D664E0" w:rsidRPr="00D664E0" w:rsidRDefault="00D664E0" w:rsidP="00D664E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bookmarkStart w:id="7" w:name="_Toc159483635"/>
      <w:r w:rsidRPr="00D664E0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3.2. MATERIJALNI RASHODI</w:t>
      </w:r>
      <w:bookmarkEnd w:id="7"/>
      <w:r w:rsidRPr="00D664E0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 xml:space="preserve"> </w:t>
      </w:r>
    </w:p>
    <w:p w:rsidR="00D664E0" w:rsidRPr="00D664E0" w:rsidRDefault="00D664E0" w:rsidP="00D664E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9A507E" w:rsidRPr="00883356" w:rsidRDefault="009A507E" w:rsidP="00180150">
      <w:pPr>
        <w:spacing w:after="1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D1D36">
        <w:rPr>
          <w:rFonts w:ascii="Times New Roman" w:eastAsia="Times New Roman" w:hAnsi="Times New Roman" w:cs="Times New Roman"/>
          <w:sz w:val="24"/>
          <w:szCs w:val="24"/>
        </w:rPr>
        <w:t xml:space="preserve">Materijalni rashodi u izvještajnom razdoblju izvršeni su u iznosu od </w:t>
      </w:r>
      <w:r w:rsidR="009D1D36" w:rsidRPr="009D1D36">
        <w:rPr>
          <w:rFonts w:ascii="Times New Roman" w:eastAsia="Times New Roman" w:hAnsi="Times New Roman" w:cs="Times New Roman"/>
          <w:sz w:val="24"/>
          <w:szCs w:val="24"/>
        </w:rPr>
        <w:t>1.061.163,9</w:t>
      </w:r>
      <w:r w:rsidR="00FA3076" w:rsidRPr="009D1D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D1D36">
        <w:rPr>
          <w:rFonts w:ascii="Times New Roman" w:eastAsia="Times New Roman" w:hAnsi="Times New Roman" w:cs="Times New Roman"/>
          <w:sz w:val="24"/>
          <w:szCs w:val="24"/>
        </w:rPr>
        <w:t xml:space="preserve"> eura i</w:t>
      </w:r>
      <w:r w:rsidR="00FA3076" w:rsidRPr="009D1D36">
        <w:rPr>
          <w:rFonts w:ascii="Times New Roman" w:eastAsia="Times New Roman" w:hAnsi="Times New Roman" w:cs="Times New Roman"/>
          <w:sz w:val="24"/>
          <w:szCs w:val="24"/>
        </w:rPr>
        <w:t xml:space="preserve"> manji su u odnosu na prethodnu</w:t>
      </w:r>
      <w:r w:rsidRPr="009D1D36">
        <w:rPr>
          <w:rFonts w:ascii="Times New Roman" w:eastAsia="Times New Roman" w:hAnsi="Times New Roman" w:cs="Times New Roman"/>
          <w:sz w:val="24"/>
          <w:szCs w:val="24"/>
        </w:rPr>
        <w:t xml:space="preserve"> god</w:t>
      </w:r>
      <w:r w:rsidR="00FA3076" w:rsidRPr="009D1D36">
        <w:rPr>
          <w:rFonts w:ascii="Times New Roman" w:eastAsia="Times New Roman" w:hAnsi="Times New Roman" w:cs="Times New Roman"/>
          <w:sz w:val="24"/>
          <w:szCs w:val="24"/>
        </w:rPr>
        <w:t>inu</w:t>
      </w:r>
      <w:r w:rsidR="008824B7">
        <w:rPr>
          <w:rFonts w:ascii="Times New Roman" w:eastAsia="Times New Roman" w:hAnsi="Times New Roman" w:cs="Times New Roman"/>
          <w:sz w:val="24"/>
          <w:szCs w:val="24"/>
        </w:rPr>
        <w:t xml:space="preserve"> zbog smanjenja potrošnje na pojedinim pozicijama</w:t>
      </w:r>
      <w:r w:rsidRPr="009D1D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24B7">
        <w:rPr>
          <w:rFonts w:ascii="Times New Roman" w:eastAsia="Times New Roman" w:hAnsi="Times New Roman" w:cs="Times New Roman"/>
          <w:sz w:val="24"/>
          <w:szCs w:val="24"/>
        </w:rPr>
        <w:t xml:space="preserve"> Isto tako, u 2024. godini veća je bila pozicija usluga tekućeg i investicijskog ulaganja kada su dobivena dodatna sredstva od Varaždinske županije koja su utrošena za popravak namještaja u pojedinim sobama korisnika.</w:t>
      </w:r>
    </w:p>
    <w:p w:rsidR="00D664E0" w:rsidRPr="00D664E0" w:rsidRDefault="00D664E0" w:rsidP="003E4BA6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p w:rsidR="00D664E0" w:rsidRPr="00D664E0" w:rsidRDefault="00D664E0" w:rsidP="00D664E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bookmarkStart w:id="8" w:name="_Toc159483636"/>
      <w:r w:rsidRPr="00D664E0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3.3. FINANCIJSKI RASHODI</w:t>
      </w:r>
      <w:bookmarkEnd w:id="8"/>
      <w:r w:rsidRPr="00D664E0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 xml:space="preserve"> </w:t>
      </w:r>
    </w:p>
    <w:p w:rsidR="00D664E0" w:rsidRPr="00D664E0" w:rsidRDefault="00D664E0" w:rsidP="00D664E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8D59BA" w:rsidRPr="00883356" w:rsidRDefault="008D59BA" w:rsidP="0035259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B7CAB">
        <w:rPr>
          <w:rFonts w:ascii="Times New Roman" w:eastAsia="Times New Roman" w:hAnsi="Times New Roman" w:cs="Times New Roman"/>
          <w:sz w:val="24"/>
          <w:szCs w:val="24"/>
        </w:rPr>
        <w:t>Financijski ra</w:t>
      </w:r>
      <w:r w:rsidR="00E146DB" w:rsidRPr="00CB7CAB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7CAB" w:rsidRPr="00CB7CAB">
        <w:rPr>
          <w:rFonts w:ascii="Times New Roman" w:eastAsia="Times New Roman" w:hAnsi="Times New Roman" w:cs="Times New Roman"/>
          <w:sz w:val="24"/>
          <w:szCs w:val="24"/>
        </w:rPr>
        <w:t>hodi ostvareni su u iznosu od 12.672,7</w:t>
      </w:r>
      <w:r w:rsidR="00E146DB" w:rsidRPr="00CB7CAB">
        <w:rPr>
          <w:rFonts w:ascii="Times New Roman" w:eastAsia="Times New Roman" w:hAnsi="Times New Roman" w:cs="Times New Roman"/>
          <w:sz w:val="24"/>
          <w:szCs w:val="24"/>
        </w:rPr>
        <w:t>6 eura i</w:t>
      </w:r>
      <w:r w:rsidR="00CB7CAB" w:rsidRPr="00CB7CAB">
        <w:rPr>
          <w:rFonts w:ascii="Times New Roman" w:eastAsia="Times New Roman" w:hAnsi="Times New Roman" w:cs="Times New Roman"/>
          <w:sz w:val="24"/>
          <w:szCs w:val="24"/>
        </w:rPr>
        <w:t xml:space="preserve"> manji su </w:t>
      </w:r>
      <w:r w:rsidRPr="00CB7CAB">
        <w:rPr>
          <w:rFonts w:ascii="Times New Roman" w:eastAsia="Times New Roman" w:hAnsi="Times New Roman" w:cs="Times New Roman"/>
          <w:sz w:val="24"/>
          <w:szCs w:val="24"/>
        </w:rPr>
        <w:t>u</w:t>
      </w:r>
      <w:r w:rsidR="00CB7CAB" w:rsidRPr="00CB7CAB">
        <w:rPr>
          <w:rFonts w:ascii="Times New Roman" w:eastAsia="Times New Roman" w:hAnsi="Times New Roman" w:cs="Times New Roman"/>
          <w:sz w:val="24"/>
          <w:szCs w:val="24"/>
        </w:rPr>
        <w:t xml:space="preserve"> odnosu na 2024</w:t>
      </w:r>
      <w:r w:rsidR="00E146DB" w:rsidRPr="00CB7C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0013">
        <w:rPr>
          <w:rFonts w:ascii="Times New Roman" w:eastAsia="Times New Roman" w:hAnsi="Times New Roman" w:cs="Times New Roman"/>
          <w:sz w:val="24"/>
          <w:szCs w:val="24"/>
        </w:rPr>
        <w:t>g</w:t>
      </w:r>
      <w:r w:rsidR="00E146DB" w:rsidRPr="00CB7CAB">
        <w:rPr>
          <w:rFonts w:ascii="Times New Roman" w:eastAsia="Times New Roman" w:hAnsi="Times New Roman" w:cs="Times New Roman"/>
          <w:sz w:val="24"/>
          <w:szCs w:val="24"/>
        </w:rPr>
        <w:t>odinu</w:t>
      </w:r>
      <w:r w:rsidR="00D70013">
        <w:rPr>
          <w:rFonts w:ascii="Times New Roman" w:eastAsia="Times New Roman" w:hAnsi="Times New Roman" w:cs="Times New Roman"/>
          <w:sz w:val="24"/>
          <w:szCs w:val="24"/>
        </w:rPr>
        <w:t xml:space="preserve"> kada su iznosili 13.704,16 eura</w:t>
      </w:r>
      <w:r w:rsidR="00E146DB" w:rsidRPr="00CB7C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0013">
        <w:rPr>
          <w:rFonts w:ascii="Times New Roman" w:eastAsia="Times New Roman" w:hAnsi="Times New Roman" w:cs="Times New Roman"/>
          <w:sz w:val="24"/>
          <w:szCs w:val="24"/>
        </w:rPr>
        <w:t xml:space="preserve"> Razlog tome je što </w:t>
      </w:r>
      <w:r w:rsidR="00D70013" w:rsidRPr="00D70013">
        <w:rPr>
          <w:rFonts w:ascii="Times New Roman" w:eastAsia="Times New Roman" w:hAnsi="Times New Roman" w:cs="Times New Roman"/>
          <w:sz w:val="24"/>
          <w:szCs w:val="24"/>
        </w:rPr>
        <w:t>su</w:t>
      </w:r>
      <w:r w:rsidR="00E146DB" w:rsidRPr="00D70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013">
        <w:rPr>
          <w:rFonts w:ascii="Times New Roman" w:eastAsia="Times New Roman" w:hAnsi="Times New Roman" w:cs="Times New Roman"/>
          <w:sz w:val="24"/>
          <w:szCs w:val="24"/>
        </w:rPr>
        <w:t>kamate za priml</w:t>
      </w:r>
      <w:r w:rsidR="00D70013" w:rsidRPr="00D70013">
        <w:rPr>
          <w:rFonts w:ascii="Times New Roman" w:eastAsia="Times New Roman" w:hAnsi="Times New Roman" w:cs="Times New Roman"/>
          <w:sz w:val="24"/>
          <w:szCs w:val="24"/>
        </w:rPr>
        <w:t>jene kredite manje u odnosu na isto razdoblje prethodne godine i</w:t>
      </w:r>
      <w:r w:rsidRPr="00D70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013" w:rsidRPr="00D70013">
        <w:rPr>
          <w:rFonts w:ascii="Times New Roman" w:eastAsia="Times New Roman" w:hAnsi="Times New Roman" w:cs="Times New Roman"/>
          <w:sz w:val="24"/>
          <w:szCs w:val="24"/>
        </w:rPr>
        <w:t>znatno su smanjene zatezne kamate</w:t>
      </w:r>
      <w:r w:rsidRPr="00D700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64E0" w:rsidRPr="00D664E0" w:rsidRDefault="00D664E0" w:rsidP="00D664E0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664E0" w:rsidRPr="00D664E0" w:rsidRDefault="00D664E0" w:rsidP="00D664E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bookmarkStart w:id="9" w:name="_Toc159483639"/>
      <w:r w:rsidRPr="00D664E0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3.4. NAKNADE GRAĐANIMA I KUĆANSTVIMA</w:t>
      </w:r>
      <w:bookmarkEnd w:id="9"/>
    </w:p>
    <w:p w:rsidR="00D664E0" w:rsidRPr="00D664E0" w:rsidRDefault="00D664E0" w:rsidP="00D664E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8D59BA" w:rsidRPr="00143A0F" w:rsidRDefault="008D59BA" w:rsidP="00352596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</w:pPr>
      <w:r w:rsidRPr="00143A0F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>Na</w:t>
      </w:r>
      <w:r w:rsidR="00143A0F" w:rsidRPr="00143A0F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>knade su ostvarene u iznosu od 3.014,02 eura što je</w:t>
      </w:r>
      <w:r w:rsidR="00143A0F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 xml:space="preserve"> za 10,8%</w:t>
      </w:r>
      <w:r w:rsidR="00143A0F" w:rsidRPr="00143A0F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 xml:space="preserve"> više</w:t>
      </w:r>
      <w:r w:rsidRPr="00143A0F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 xml:space="preserve"> u </w:t>
      </w:r>
      <w:r w:rsidR="00FA3076" w:rsidRPr="00143A0F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>odnosu na prethodnu godinu</w:t>
      </w:r>
      <w:r w:rsidRPr="00143A0F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>. Razlog većih naknada u izvještajnom razdoblju</w:t>
      </w:r>
      <w:r w:rsidR="00143A0F" w:rsidRPr="00143A0F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 xml:space="preserve"> je taj što je u 2025. godini utrošeno nešto više sredstava za kulturne i zabavne potrebe korisnika (izleti).</w:t>
      </w:r>
    </w:p>
    <w:p w:rsidR="00D664E0" w:rsidRPr="00883356" w:rsidRDefault="00D664E0" w:rsidP="00D664E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0"/>
          <w:lang w:eastAsia="hr-HR"/>
        </w:rPr>
      </w:pPr>
    </w:p>
    <w:p w:rsidR="00D664E0" w:rsidRPr="00D664E0" w:rsidRDefault="00D664E0" w:rsidP="00D664E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0" w:name="_Toc159483641"/>
      <w:r w:rsidRPr="00D66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3.5. RASHODI ZA NABAVU NEFINANCIJSKE IMOVINE</w:t>
      </w:r>
      <w:bookmarkEnd w:id="10"/>
    </w:p>
    <w:p w:rsidR="00D664E0" w:rsidRPr="00D664E0" w:rsidRDefault="00D664E0" w:rsidP="00D664E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D664E0" w:rsidRDefault="00D664E0" w:rsidP="003525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EED">
        <w:rPr>
          <w:rFonts w:ascii="Times New Roman" w:eastAsia="Times New Roman" w:hAnsi="Times New Roman" w:cs="Times New Roman"/>
          <w:sz w:val="24"/>
          <w:szCs w:val="24"/>
        </w:rPr>
        <w:t xml:space="preserve">Rashodi za nabavu nefinancijske imovine izvršeni su u iznosu od </w:t>
      </w:r>
      <w:r w:rsidR="00810EED" w:rsidRPr="00810EED">
        <w:rPr>
          <w:rFonts w:ascii="Times New Roman" w:eastAsia="Times New Roman" w:hAnsi="Times New Roman" w:cs="Times New Roman"/>
          <w:sz w:val="24"/>
          <w:szCs w:val="24"/>
        </w:rPr>
        <w:t>32.563,9</w:t>
      </w:r>
      <w:r w:rsidR="00523650" w:rsidRPr="00810EED">
        <w:rPr>
          <w:rFonts w:ascii="Times New Roman" w:eastAsia="Times New Roman" w:hAnsi="Times New Roman" w:cs="Times New Roman"/>
          <w:sz w:val="24"/>
          <w:szCs w:val="24"/>
        </w:rPr>
        <w:t xml:space="preserve">1 eura i znatno </w:t>
      </w:r>
      <w:r w:rsidR="00810EED" w:rsidRPr="00810EED">
        <w:rPr>
          <w:rFonts w:ascii="Times New Roman" w:eastAsia="Times New Roman" w:hAnsi="Times New Roman" w:cs="Times New Roman"/>
          <w:sz w:val="24"/>
          <w:szCs w:val="24"/>
        </w:rPr>
        <w:t>su manji</w:t>
      </w:r>
      <w:r w:rsidRPr="00810EED">
        <w:rPr>
          <w:rFonts w:ascii="Times New Roman" w:eastAsia="Times New Roman" w:hAnsi="Times New Roman" w:cs="Times New Roman"/>
          <w:sz w:val="24"/>
          <w:szCs w:val="24"/>
        </w:rPr>
        <w:t xml:space="preserve"> u odnosu na prethodnu godinu. Realizirana je kupnja sukladno Planu za kupnju nefinancijske imovine (Popis prioriteta)</w:t>
      </w:r>
      <w:r w:rsidR="00810EED" w:rsidRPr="00810EED">
        <w:rPr>
          <w:rFonts w:ascii="Times New Roman" w:eastAsia="Times New Roman" w:hAnsi="Times New Roman" w:cs="Times New Roman"/>
          <w:sz w:val="24"/>
          <w:szCs w:val="24"/>
        </w:rPr>
        <w:t xml:space="preserve"> u iznosu od 13.260,74</w:t>
      </w:r>
      <w:r w:rsidR="00CB4B95" w:rsidRPr="00810EED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Pr="00810E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B95" w:rsidRPr="00810EED">
        <w:rPr>
          <w:rFonts w:ascii="Times New Roman" w:eastAsia="Times New Roman" w:hAnsi="Times New Roman" w:cs="Times New Roman"/>
          <w:sz w:val="24"/>
          <w:szCs w:val="24"/>
        </w:rPr>
        <w:t xml:space="preserve"> putem hitnih intervencija utrošeno je 3</w:t>
      </w:r>
      <w:r w:rsidR="00810EED" w:rsidRPr="00810EED">
        <w:rPr>
          <w:rFonts w:ascii="Times New Roman" w:eastAsia="Times New Roman" w:hAnsi="Times New Roman" w:cs="Times New Roman"/>
          <w:sz w:val="24"/>
          <w:szCs w:val="24"/>
        </w:rPr>
        <w:t>.955,35</w:t>
      </w:r>
      <w:r w:rsidR="00CB4B95" w:rsidRPr="00810EED">
        <w:rPr>
          <w:rFonts w:ascii="Times New Roman" w:eastAsia="Times New Roman" w:hAnsi="Times New Roman" w:cs="Times New Roman"/>
          <w:sz w:val="24"/>
          <w:szCs w:val="24"/>
        </w:rPr>
        <w:t xml:space="preserve"> eura,</w:t>
      </w:r>
      <w:r w:rsidRPr="00810EED">
        <w:rPr>
          <w:rFonts w:ascii="Times New Roman" w:eastAsia="Times New Roman" w:hAnsi="Times New Roman" w:cs="Times New Roman"/>
          <w:sz w:val="24"/>
          <w:szCs w:val="24"/>
        </w:rPr>
        <w:t xml:space="preserve"> određena oprema kupovala se raspoloživim sredstvima iz vlastitih izvora</w:t>
      </w:r>
      <w:r w:rsidR="00810EED" w:rsidRPr="00810EED">
        <w:rPr>
          <w:rFonts w:ascii="Times New Roman" w:eastAsia="Times New Roman" w:hAnsi="Times New Roman" w:cs="Times New Roman"/>
          <w:sz w:val="24"/>
          <w:szCs w:val="24"/>
        </w:rPr>
        <w:t xml:space="preserve"> u iznosu od 8.857,16</w:t>
      </w:r>
      <w:r w:rsidR="00CB4B95" w:rsidRPr="00810EED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810E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0EED">
        <w:rPr>
          <w:rFonts w:ascii="Times New Roman" w:eastAsia="Times New Roman" w:hAnsi="Times New Roman" w:cs="Times New Roman"/>
          <w:sz w:val="24"/>
          <w:szCs w:val="24"/>
        </w:rPr>
        <w:t>dio nefinancijske imovine ostvaren je putem donacija</w:t>
      </w:r>
      <w:r w:rsidR="00810EED" w:rsidRPr="00810EED">
        <w:rPr>
          <w:rFonts w:ascii="Times New Roman" w:eastAsia="Times New Roman" w:hAnsi="Times New Roman" w:cs="Times New Roman"/>
          <w:sz w:val="24"/>
          <w:szCs w:val="24"/>
        </w:rPr>
        <w:t xml:space="preserve"> u iznosu od 4.635,66</w:t>
      </w:r>
      <w:r w:rsidR="00CB4B95" w:rsidRPr="00810EED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810EED">
        <w:rPr>
          <w:rFonts w:ascii="Times New Roman" w:eastAsia="Times New Roman" w:hAnsi="Times New Roman" w:cs="Times New Roman"/>
          <w:sz w:val="24"/>
          <w:szCs w:val="24"/>
        </w:rPr>
        <w:t>, a od prihoda od prodaje nefinancijske imovine (dva starija službena automobila) kupljena je komunikacijska oprema u iznosu od 1.855,00 eura</w:t>
      </w:r>
      <w:r w:rsidRPr="00810E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75A6">
        <w:rPr>
          <w:rFonts w:ascii="Times New Roman" w:eastAsia="Times New Roman" w:hAnsi="Times New Roman" w:cs="Times New Roman"/>
          <w:sz w:val="24"/>
          <w:szCs w:val="24"/>
        </w:rPr>
        <w:t xml:space="preserve"> U 2024. godini bili su veći rashodi za nabavu nefinancijske imovine zbog dodatnih sredstava dobivenih od Varaždinske </w:t>
      </w:r>
      <w:r w:rsidR="001375A6" w:rsidRPr="001375A6">
        <w:rPr>
          <w:rFonts w:ascii="Times New Roman" w:eastAsia="Times New Roman" w:hAnsi="Times New Roman" w:cs="Times New Roman"/>
          <w:sz w:val="24"/>
          <w:szCs w:val="24"/>
        </w:rPr>
        <w:t xml:space="preserve">županije </w:t>
      </w:r>
      <w:r w:rsidR="00CB4B95" w:rsidRPr="001375A6">
        <w:rPr>
          <w:rFonts w:ascii="Times New Roman" w:eastAsia="Times New Roman" w:hAnsi="Times New Roman" w:cs="Times New Roman"/>
          <w:sz w:val="24"/>
          <w:szCs w:val="24"/>
        </w:rPr>
        <w:t>zbog više ostvarenog poreza</w:t>
      </w:r>
      <w:r w:rsidR="001375A6" w:rsidRPr="001375A6">
        <w:rPr>
          <w:rFonts w:ascii="Times New Roman" w:eastAsia="Times New Roman" w:hAnsi="Times New Roman" w:cs="Times New Roman"/>
          <w:sz w:val="24"/>
          <w:szCs w:val="24"/>
        </w:rPr>
        <w:t xml:space="preserve"> čime je kupljena određena oprema</w:t>
      </w:r>
      <w:r w:rsidR="00CB4B95" w:rsidRPr="001375A6">
        <w:rPr>
          <w:rFonts w:ascii="Times New Roman" w:eastAsia="Times New Roman" w:hAnsi="Times New Roman" w:cs="Times New Roman"/>
          <w:sz w:val="24"/>
          <w:szCs w:val="24"/>
        </w:rPr>
        <w:t xml:space="preserve"> u iznosu od 56.299,01 eura, a najveći dio rashoda za nabavu nefinancijske </w:t>
      </w:r>
      <w:r w:rsidR="00CB4B95" w:rsidRPr="001375A6">
        <w:rPr>
          <w:rFonts w:ascii="Times New Roman" w:eastAsia="Times New Roman" w:hAnsi="Times New Roman" w:cs="Times New Roman"/>
          <w:sz w:val="24"/>
          <w:szCs w:val="24"/>
        </w:rPr>
        <w:lastRenderedPageBreak/>
        <w:t>imovine u iznosu od 162.659,67 eura odnosi</w:t>
      </w:r>
      <w:r w:rsidR="001375A6" w:rsidRPr="001375A6">
        <w:rPr>
          <w:rFonts w:ascii="Times New Roman" w:eastAsia="Times New Roman" w:hAnsi="Times New Roman" w:cs="Times New Roman"/>
          <w:sz w:val="24"/>
          <w:szCs w:val="24"/>
        </w:rPr>
        <w:t>o</w:t>
      </w:r>
      <w:r w:rsidR="00CB4B95" w:rsidRPr="001375A6">
        <w:rPr>
          <w:rFonts w:ascii="Times New Roman" w:eastAsia="Times New Roman" w:hAnsi="Times New Roman" w:cs="Times New Roman"/>
          <w:sz w:val="24"/>
          <w:szCs w:val="24"/>
        </w:rPr>
        <w:t xml:space="preserve"> se na ugradnju vatrodojavnog sustava koji je ustanova bila obvezna ugraditi.</w:t>
      </w:r>
    </w:p>
    <w:p w:rsidR="00B139A3" w:rsidRPr="001375A6" w:rsidRDefault="00B139A3" w:rsidP="003525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4E0" w:rsidRPr="00D664E0" w:rsidRDefault="00D664E0" w:rsidP="00D664E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11" w:name="_Toc159483642"/>
      <w:r w:rsidRPr="00D664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3.6. IZDACI ZA FINANCIJSKU IMOVINU I OTPLATE ZAJMOVA</w:t>
      </w:r>
      <w:bookmarkEnd w:id="11"/>
    </w:p>
    <w:p w:rsidR="00D664E0" w:rsidRPr="00D664E0" w:rsidRDefault="00D664E0" w:rsidP="00D664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664E0" w:rsidRPr="00911C06" w:rsidRDefault="00D664E0" w:rsidP="0035259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1C06">
        <w:rPr>
          <w:rFonts w:ascii="Times New Roman" w:eastAsia="Times New Roman" w:hAnsi="Times New Roman" w:cs="Times New Roman"/>
          <w:bCs/>
          <w:sz w:val="24"/>
          <w:szCs w:val="24"/>
        </w:rPr>
        <w:t>Izdaci za financijsku imovinu, odnosno izdaci za otplatu glavnice primljenih kredita ostvareni su u iznosu o</w:t>
      </w:r>
      <w:r w:rsidR="00CA6139" w:rsidRPr="00911C06">
        <w:rPr>
          <w:rFonts w:ascii="Times New Roman" w:eastAsia="Times New Roman" w:hAnsi="Times New Roman" w:cs="Times New Roman"/>
          <w:bCs/>
          <w:sz w:val="24"/>
          <w:szCs w:val="24"/>
        </w:rPr>
        <w:t>d 107.865,88 eura.</w:t>
      </w:r>
      <w:r w:rsidRPr="00911C06">
        <w:rPr>
          <w:rFonts w:ascii="Times New Roman" w:eastAsia="Times New Roman" w:hAnsi="Times New Roman" w:cs="Times New Roman"/>
          <w:bCs/>
          <w:sz w:val="24"/>
          <w:szCs w:val="24"/>
        </w:rPr>
        <w:t xml:space="preserve"> Iznos od 82.742,44 eura odnosi se na otplatu glavnice kredita kod HBOR-a, a iznos od 25.123,44 eura se odnosi na otplatu glavnice kredita kod Zagrebačke banke.</w:t>
      </w:r>
    </w:p>
    <w:p w:rsidR="00D664E0" w:rsidRPr="00D664E0" w:rsidRDefault="00D664E0" w:rsidP="00D6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64E0" w:rsidRPr="00D664E0" w:rsidRDefault="00D664E0" w:rsidP="00D6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64E0" w:rsidRPr="00D664E0" w:rsidRDefault="00D664E0" w:rsidP="00AB0DE1">
      <w:pPr>
        <w:keepNext/>
        <w:numPr>
          <w:ilvl w:val="0"/>
          <w:numId w:val="1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</w:pPr>
      <w:bookmarkStart w:id="12" w:name="_Toc159483643"/>
      <w:r w:rsidRPr="00D664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  <w:t>IZVJEŠTAJ O ZADUŽIVANJU NA DOMAĆEM I STRANOM TRŽIŠTU NOVCA I KAPITALA</w:t>
      </w:r>
      <w:bookmarkEnd w:id="12"/>
    </w:p>
    <w:p w:rsidR="00D664E0" w:rsidRPr="00D664E0" w:rsidRDefault="00D664E0" w:rsidP="00AB0DE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eastAsia="hr-HR"/>
        </w:rPr>
      </w:pPr>
    </w:p>
    <w:p w:rsidR="00D664E0" w:rsidRPr="00D664E0" w:rsidRDefault="00AB0DE1" w:rsidP="00D664E0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eastAsia="hr-HR"/>
        </w:rPr>
      </w:pPr>
      <w:r w:rsidRPr="00AB0DE1">
        <w:rPr>
          <w:noProof/>
          <w:lang w:eastAsia="hr-HR"/>
        </w:rPr>
        <w:drawing>
          <wp:inline distT="0" distB="0" distL="0" distR="0" wp14:anchorId="3760EA70" wp14:editId="1C0EA8BA">
            <wp:extent cx="5670550" cy="1545905"/>
            <wp:effectExtent l="0" t="0" r="635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54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E0" w:rsidRPr="00AB0DE1" w:rsidRDefault="00D664E0" w:rsidP="003525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0DE1">
        <w:rPr>
          <w:rFonts w:ascii="Times New Roman" w:eastAsia="Times New Roman" w:hAnsi="Times New Roman" w:cs="Times New Roman"/>
          <w:sz w:val="24"/>
          <w:szCs w:val="24"/>
          <w:lang w:eastAsia="hr-HR"/>
        </w:rPr>
        <w:t>Iz priložene Tablice 2 vidljivo je da Dom za starije i nemoćne osobe Varaždin ima dva kredita u korištenju. Oba su uzeta za financiranje vlastite komponente prilikom izvođenja radova na energetskoj obnovi Doma.</w:t>
      </w:r>
    </w:p>
    <w:p w:rsidR="00D664E0" w:rsidRPr="00D664E0" w:rsidRDefault="00D664E0" w:rsidP="00D664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664E0" w:rsidRPr="00D664E0" w:rsidRDefault="00D664E0" w:rsidP="00D664E0">
      <w:pPr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D6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IZVJEŠTAJ O STANJU POTRAŽIVANJA I DOSPJELIH OBVEZA TE O STANJU POTENCIJALNIH OBVEZA PO OSNOVI SUDSKIH SPOROVA</w:t>
      </w:r>
    </w:p>
    <w:p w:rsidR="00D664E0" w:rsidRPr="00D664E0" w:rsidRDefault="00D664E0" w:rsidP="00D664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hr-HR"/>
        </w:rPr>
      </w:pPr>
    </w:p>
    <w:p w:rsidR="00D664E0" w:rsidRPr="003A3386" w:rsidRDefault="00D664E0" w:rsidP="009A5A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u iznosu</w:t>
      </w:r>
      <w:r w:rsidR="003A3386"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30.028,14</w:t>
      </w:r>
      <w:r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odnose se na potraživanja za više plaćene </w:t>
      </w:r>
      <w:r w:rsidR="003A3386"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poreze </w:t>
      </w:r>
      <w:r w:rsidR="00E00469">
        <w:rPr>
          <w:rFonts w:ascii="Times New Roman" w:eastAsia="Times New Roman" w:hAnsi="Times New Roman" w:cs="Times New Roman"/>
          <w:sz w:val="24"/>
          <w:szCs w:val="24"/>
          <w:lang w:eastAsia="hr-HR"/>
        </w:rPr>
        <w:t>i doprinose koji iznose</w:t>
      </w:r>
      <w:r w:rsidR="003A3386"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8.861,49</w:t>
      </w:r>
      <w:r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te potraživanja za bo</w:t>
      </w:r>
      <w:r w:rsidR="003A3386"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>lovanja od HZZO-a u iznosu od 21.166,65</w:t>
      </w:r>
      <w:r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Potraživanja za opskrbni</w:t>
      </w:r>
      <w:r w:rsidR="003A3386"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>ne i telefonske usluge iznose 31.711,66</w:t>
      </w:r>
      <w:r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za usluge od za</w:t>
      </w:r>
      <w:r w:rsidR="003A3386"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>kupa poslovnog prostora iznose 9.657,20</w:t>
      </w:r>
      <w:r w:rsidRPr="003A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dok ispravak vrijednosti potraživanja iznosi 23.675,63 eura.</w:t>
      </w:r>
    </w:p>
    <w:p w:rsidR="00D664E0" w:rsidRPr="005C2035" w:rsidRDefault="00D664E0" w:rsidP="009A5A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obveza na početku izvještajnog razdoblja iznosilo je 1</w:t>
      </w:r>
      <w:r w:rsidR="005C2035"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.418.482,</w:t>
      </w:r>
      <w:r w:rsidR="00D55611"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C2035"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u izvještajnom r</w:t>
      </w:r>
      <w:r w:rsidR="00D55611"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azdo</w:t>
      </w:r>
      <w:r w:rsidR="005C2035"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blju obveze su povećane za 4.341.542,3</w:t>
      </w:r>
      <w:r w:rsidR="00D55611"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Dio </w:t>
      </w:r>
      <w:r w:rsidR="00D55611"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obve</w:t>
      </w:r>
      <w:r w:rsidR="005C2035"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za podmiren je u iznosu od 4.457.129,05</w:t>
      </w:r>
      <w:r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stanje obveza na kraju izv</w:t>
      </w:r>
      <w:r w:rsidR="005C2035"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ještajnog razdoblja iznosi 1.302.896,00</w:t>
      </w:r>
      <w:r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što su ujedno</w:t>
      </w:r>
      <w:r w:rsidR="005C2035"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nedospjele obveze.</w:t>
      </w:r>
    </w:p>
    <w:p w:rsidR="00D664E0" w:rsidRPr="005C2035" w:rsidRDefault="00D664E0" w:rsidP="009A5A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2035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potencijalnih obveza po osnovi sudskih postupaka iznosi 14.870,65 eura (bez zateznih kamata).</w:t>
      </w:r>
    </w:p>
    <w:p w:rsidR="00D664E0" w:rsidRPr="00883356" w:rsidRDefault="00D664E0" w:rsidP="00D664E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hr-HR"/>
        </w:rPr>
      </w:pPr>
    </w:p>
    <w:p w:rsidR="00D664E0" w:rsidRDefault="00D664E0" w:rsidP="00D664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hr-HR"/>
        </w:rPr>
      </w:pPr>
    </w:p>
    <w:p w:rsidR="00C85594" w:rsidRPr="00D664E0" w:rsidRDefault="00C85594" w:rsidP="00D664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hr-HR"/>
        </w:rPr>
      </w:pPr>
    </w:p>
    <w:p w:rsidR="00D664E0" w:rsidRPr="00D664E0" w:rsidRDefault="00D664E0" w:rsidP="00D664E0">
      <w:pPr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</w:pPr>
      <w:bookmarkStart w:id="13" w:name="_Toc159483648"/>
      <w:r w:rsidRPr="00D664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hr-HR"/>
        </w:rPr>
        <w:lastRenderedPageBreak/>
        <w:t>REZULTAT POSLOVANJA</w:t>
      </w:r>
      <w:bookmarkEnd w:id="13"/>
    </w:p>
    <w:p w:rsidR="00D664E0" w:rsidRPr="00D664E0" w:rsidRDefault="00D664E0" w:rsidP="00D664E0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hr-HR"/>
        </w:rPr>
      </w:pPr>
    </w:p>
    <w:p w:rsidR="00D664E0" w:rsidRPr="000347C3" w:rsidRDefault="00D664E0" w:rsidP="009A5A7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</w:t>
      </w:r>
      <w:r w:rsidR="00065049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</w:t>
      </w:r>
      <w:r w:rsidR="000347C3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>doblju ukupno je ostvareno 4.377.328,43</w:t>
      </w:r>
      <w:r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prihoda, dok su rashodi i izdaci</w:t>
      </w:r>
      <w:r w:rsidR="00065049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</w:t>
      </w:r>
      <w:r w:rsidR="000347C3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>vareni u ukupnom iznosu od 4.403.998,24</w:t>
      </w:r>
      <w:r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Kada se od prihoda oduzmu r</w:t>
      </w:r>
      <w:r w:rsidR="000347C3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>ashodi i izdaci dobije se manjak u iznosu od 26.669,81</w:t>
      </w:r>
      <w:r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  <w:r w:rsidR="00065049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47C3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>U 2024. godini ostvaren je višak prihoda u iznosu od 32.586,91 eura koji se prenio u 2025</w:t>
      </w:r>
      <w:r w:rsidR="00065049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koji</w:t>
      </w:r>
      <w:r w:rsidR="000347C3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>m će se pokriti nastali manjak</w:t>
      </w:r>
      <w:r w:rsidR="00065049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če</w:t>
      </w:r>
      <w:r w:rsidR="000347C3"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>ga dobijemo višak u iznosu od 5.917,10</w:t>
      </w:r>
      <w:r w:rsidRPr="000347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:rsidR="00D664E0" w:rsidRPr="008F26B2" w:rsidRDefault="00D664E0" w:rsidP="009A5A7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>Gledajući po izvori</w:t>
      </w:r>
      <w:r w:rsid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>ma financiranja, na izvoru 11 (o</w:t>
      </w:r>
      <w:r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 prihodi i primici) ostvaren je višak prihoda poslovanja u iznosu od 107.865,88 eura, ali i manjak primitaka od financijske imovine u istom iznosu. </w:t>
      </w:r>
      <w:r w:rsidR="008F26B2"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>Na izvoru 31 (v</w:t>
      </w:r>
      <w:r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>lastiti prihodi) ostvaren je višak priho</w:t>
      </w:r>
      <w:r w:rsidR="008F26B2"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>da poslovanja u iznosu od 45.963,08</w:t>
      </w:r>
      <w:r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ali i manjak prihoda od nefi</w:t>
      </w:r>
      <w:r w:rsidR="008F26B2"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>nancijske imovine u iznosu od 8.857,16 eura. Na izvoru 43 (o</w:t>
      </w:r>
      <w:r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>stali prihodi za pos</w:t>
      </w:r>
      <w:r w:rsidR="008F26B2"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>ebne namjene) ostvaren je manjak</w:t>
      </w:r>
      <w:r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="008F26B2"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>rihoda poslovanja u iznosu od 31.188,82</w:t>
      </w:r>
      <w:r w:rsidRPr="008F26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:rsidR="00D664E0" w:rsidRPr="00903795" w:rsidRDefault="00D664E0" w:rsidP="0097235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2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Viškom prihoda poslovanja na izvoru 11 u iznosu od 107.865,88 eura pokrit će se manjak </w:t>
      </w:r>
      <w:r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primitaka od financijske imovine na istom izvoru u iznosu od 107.865,88 eura. </w:t>
      </w:r>
      <w:r w:rsidR="007D0DD6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>Viškom prihoda poslov</w:t>
      </w:r>
      <w:r w:rsidR="00903795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>anja na izvoru 31 koji iznosi 45.963,08</w:t>
      </w:r>
      <w:r w:rsidR="007D0DD6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pokrit će se manjak prihoda od nefinancijske im</w:t>
      </w:r>
      <w:r w:rsidR="00903795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>ovine na izvoru 31 u iznosu od 8.857,16</w:t>
      </w:r>
      <w:r w:rsidR="007D0DD6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  <w:r w:rsidR="00DE6A63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Preostali višak prihoda poslov</w:t>
      </w:r>
      <w:r w:rsidR="00903795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>anja na izvoru 31 u iznosu od 37.105,92</w:t>
      </w:r>
      <w:r w:rsidR="00DE6A63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prenosi se u sljedeću godinu, nalazi se na kontu 92211 i uključit će se u Financijski plan ustanove za 20</w:t>
      </w:r>
      <w:r w:rsidR="00903795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DE6A63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</w:t>
      </w:r>
      <w:r w:rsidR="00903795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>Manjak</w:t>
      </w:r>
      <w:r w:rsidR="00DE6A63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p</w:t>
      </w:r>
      <w:r w:rsidR="00903795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>oslovanja na izvoru 43 iznosi 31.188,82</w:t>
      </w:r>
      <w:r w:rsidR="00DE6A63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Također se prenosi u sljedeću</w:t>
      </w:r>
      <w:r w:rsidR="00903795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godinu, nalazi se na kontu 9222</w:t>
      </w:r>
      <w:r w:rsidR="00DE6A63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>1 i uključit će se u F</w:t>
      </w:r>
      <w:r w:rsidR="00903795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>inancijski plan ustanove za 2026</w:t>
      </w:r>
      <w:r w:rsidR="00DE6A63" w:rsidRPr="0090379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:rsidR="00D664E0" w:rsidRPr="00D664E0" w:rsidRDefault="00D664E0" w:rsidP="00D664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D664E0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:::::::::::::::::::::::::::::::::::::::::::::::::::::::::::::::::::::::::::::::::::::::::::::::::::::::::::::::::::::::::::::::::::::::::::::</w:t>
      </w:r>
    </w:p>
    <w:p w:rsidR="005D3DEB" w:rsidRDefault="00D664E0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  <w:r w:rsidRPr="00D664E0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Nastavno na ovo obrazloženje, daje se det</w:t>
      </w:r>
      <w:r w:rsidR="00883356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aljan opis programa rada za 2025</w:t>
      </w:r>
      <w:r w:rsidRPr="00D664E0"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 xml:space="preserve">. godinu iskazan u Posebnom dijelu Financijskog plana. </w:t>
      </w: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DD04DD" w:rsidRPr="003E4BA6" w:rsidRDefault="00DD04DD" w:rsidP="003E4BA6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</w:pPr>
    </w:p>
    <w:p w:rsidR="007327EF" w:rsidRPr="007327EF" w:rsidRDefault="007327EF" w:rsidP="007327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  <w:r w:rsidRPr="007327EF"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  <w:t>DOM ZA STARIJE I NEMOĆNE</w:t>
      </w: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  <w:r w:rsidRPr="007327EF"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  <w:t>OSOBE VARAŽDIN</w:t>
      </w: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  <w:r w:rsidRPr="007327EF"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  <w:t xml:space="preserve"> </w:t>
      </w: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</w:pPr>
      <w:r w:rsidRPr="007327EF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 xml:space="preserve">OBRAZLOŽENJE POSEBNOG DIJELA </w:t>
      </w: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7327EF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GODIŠNJEG IZVJEŠTAJA O IZVRŠENJU</w:t>
      </w: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7327EF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 FINANCIJSKOG PLANA</w:t>
      </w:r>
    </w:p>
    <w:p w:rsidR="007327EF" w:rsidRPr="007327EF" w:rsidRDefault="001328B8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ZA</w:t>
      </w:r>
      <w:r w:rsidR="00BE5688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 2025</w:t>
      </w:r>
      <w:r w:rsidR="007327EF" w:rsidRPr="007327EF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. GODINU</w:t>
      </w: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left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left" w:pos="6375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  <w:r w:rsidRPr="007327EF"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  <w:tab/>
      </w: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Default="007327EF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3E15DB" w:rsidRPr="007327EF" w:rsidRDefault="003E15DB" w:rsidP="007327EF">
      <w:pPr>
        <w:tabs>
          <w:tab w:val="center" w:pos="4536"/>
          <w:tab w:val="righ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</w:p>
    <w:p w:rsidR="007327EF" w:rsidRPr="003E15DB" w:rsidRDefault="00BE5688" w:rsidP="00831F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Varaždin, 2026</w:t>
      </w:r>
      <w:r w:rsidR="007327EF" w:rsidRPr="007327E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tbl>
      <w:tblPr>
        <w:tblW w:w="10362" w:type="dxa"/>
        <w:tblCellSpacing w:w="20" w:type="dxa"/>
        <w:tblInd w:w="-693" w:type="dxa"/>
        <w:tblLook w:val="01E0" w:firstRow="1" w:lastRow="1" w:firstColumn="1" w:lastColumn="1" w:noHBand="0" w:noVBand="0"/>
      </w:tblPr>
      <w:tblGrid>
        <w:gridCol w:w="1501"/>
        <w:gridCol w:w="328"/>
        <w:gridCol w:w="8679"/>
      </w:tblGrid>
      <w:tr w:rsidR="007327EF" w:rsidRPr="007327EF" w:rsidTr="00FF4BBF">
        <w:trPr>
          <w:trHeight w:val="177"/>
          <w:tblCellSpacing w:w="20" w:type="dxa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CC99"/>
          </w:tcPr>
          <w:p w:rsidR="007327EF" w:rsidRPr="007327EF" w:rsidRDefault="007327EF" w:rsidP="007327EF">
            <w:pPr>
              <w:keepNext/>
              <w:pageBreakBefore/>
              <w:spacing w:before="240" w:after="24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327E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lastRenderedPageBreak/>
              <w:t>NAZIV PROGRAMA:</w:t>
            </w:r>
          </w:p>
        </w:tc>
        <w:tc>
          <w:tcPr>
            <w:tcW w:w="337" w:type="dxa"/>
          </w:tcPr>
          <w:p w:rsidR="007327EF" w:rsidRPr="007327EF" w:rsidRDefault="007327EF" w:rsidP="007327EF">
            <w:pPr>
              <w:pageBreakBefore/>
              <w:spacing w:before="240" w:after="24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327EF" w:rsidRPr="007327EF" w:rsidRDefault="007327EF" w:rsidP="00FF4BBF">
            <w:pPr>
              <w:keepNext/>
              <w:pageBreakBefore/>
              <w:spacing w:before="240" w:after="240" w:line="240" w:lineRule="auto"/>
              <w:ind w:right="6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732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1340 DOM ZA STARIJE I NEMOĆNE OSOBE</w:t>
            </w:r>
          </w:p>
        </w:tc>
      </w:tr>
      <w:tr w:rsidR="007327EF" w:rsidRPr="007327EF" w:rsidTr="00FF4BBF">
        <w:trPr>
          <w:trHeight w:val="193"/>
          <w:tblCellSpacing w:w="20" w:type="dxa"/>
        </w:trPr>
        <w:tc>
          <w:tcPr>
            <w:tcW w:w="1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27EF" w:rsidRPr="007327EF" w:rsidRDefault="007327EF" w:rsidP="007327E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32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OPIS PROGRAMA:</w:t>
            </w:r>
          </w:p>
          <w:p w:rsidR="007327EF" w:rsidRPr="007327EF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:rsidR="007327EF" w:rsidRPr="007327EF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7327EF" w:rsidRPr="007327EF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7327EF" w:rsidRPr="007327EF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37" w:type="dxa"/>
            <w:shd w:val="clear" w:color="auto" w:fill="auto"/>
          </w:tcPr>
          <w:p w:rsidR="007327EF" w:rsidRPr="007327EF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27EF" w:rsidRPr="006A5B15" w:rsidRDefault="007327EF" w:rsidP="007327EF">
            <w:pPr>
              <w:autoSpaceDE w:val="0"/>
              <w:autoSpaceDN w:val="0"/>
              <w:adjustRightInd w:val="0"/>
              <w:spacing w:before="120" w:after="120" w:line="240" w:lineRule="auto"/>
              <w:ind w:left="-6" w:firstLine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Ovim programom želi se održavati i unaprijediti standard i kvaliteta usluga koje se pružaju korisnicima te osigurati redovito poslovanje Doma-osiguranim sredstvima izvršiti nabavu roba i usluga, te zbrinjavanje i skrb o starijim osobama podići na višu razinu.</w:t>
            </w:r>
          </w:p>
          <w:p w:rsidR="007327EF" w:rsidRPr="006A5B15" w:rsidRDefault="007327EF" w:rsidP="007327EF">
            <w:pPr>
              <w:autoSpaceDE w:val="0"/>
              <w:autoSpaceDN w:val="0"/>
              <w:adjustRightInd w:val="0"/>
              <w:spacing w:before="120" w:after="120" w:line="240" w:lineRule="auto"/>
              <w:ind w:left="-6" w:firstLine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Odlukom o kriterijima, mjerilima i načinu financiranja domova za starije osobe utvrđuje se godišnja visina sredstava za decentralizirano financiranje po slijedećim skupinama rashoda: rashodi za zaposlene, materijalni i financijski rashodi, rashodi za nabavu nefinancijske imovine i za hitne intervencije. Prema Uputi Ministarstva financija ukupan iznos sredstava za decentralizirano financira</w:t>
            </w:r>
            <w:r w:rsidR="006A5B15"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nje u Financijskom planu za 2025</w:t>
            </w:r>
            <w:r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="006650D1"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</w:t>
            </w:r>
            <w:r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odinu</w:t>
            </w:r>
            <w:r w:rsidR="006A5B15"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iznosi 748.417</w:t>
            </w:r>
            <w:r w:rsidR="006650D1"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 eura</w:t>
            </w:r>
            <w:r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Planirani prihodi za posebne namjene planiraju se temeljem cijene usluge smještaja korisnika.</w:t>
            </w:r>
          </w:p>
          <w:p w:rsidR="007327EF" w:rsidRPr="00A30192" w:rsidRDefault="007327EF" w:rsidP="007327EF">
            <w:pPr>
              <w:autoSpaceDE w:val="0"/>
              <w:autoSpaceDN w:val="0"/>
              <w:adjustRightInd w:val="0"/>
              <w:spacing w:before="120" w:after="120" w:line="240" w:lineRule="auto"/>
              <w:ind w:left="-6" w:firstLine="6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Pravovremeno sklapanje ugovora o opskrbi radi nabave roba i usluga koji su preduvjet pravovremene opskrbe Doma, kao i pravovremeno plaćanje svih pristiglih obveza po računima radi osiguravanja neometanog poslovanja Doma. Pravovremena isplata plaća i ostalih materijalnih prava radnicima. Osiguranje prihoda za redovito poslovanje Doma.</w:t>
            </w:r>
          </w:p>
        </w:tc>
      </w:tr>
      <w:tr w:rsidR="007327EF" w:rsidRPr="007327EF" w:rsidTr="00FF4BBF">
        <w:trPr>
          <w:trHeight w:val="1299"/>
          <w:tblCellSpacing w:w="20" w:type="dxa"/>
        </w:trPr>
        <w:tc>
          <w:tcPr>
            <w:tcW w:w="1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27EF" w:rsidRPr="007327EF" w:rsidRDefault="007327EF" w:rsidP="007327E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32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ZAKONSKA I DRUGA PODLOGA ZA UVOĐENJE PROGRAMA:</w:t>
            </w:r>
          </w:p>
          <w:p w:rsidR="007327EF" w:rsidRPr="007327EF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37" w:type="dxa"/>
            <w:shd w:val="clear" w:color="auto" w:fill="auto"/>
          </w:tcPr>
          <w:p w:rsidR="007327EF" w:rsidRPr="007327EF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27EF" w:rsidRPr="00A30192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:rsidR="007327EF" w:rsidRPr="00A30192" w:rsidRDefault="007327EF" w:rsidP="00732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hr-HR"/>
              </w:rPr>
            </w:pPr>
            <w:r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Namjenska sredstva planirana su u Proračunu Županije temeljem Zakona o socijalnoj skrbi, Odluke o minimalnim financijskim standardima, kriterijima i mjerilima za decentralizirano financiranje domova z</w:t>
            </w:r>
            <w:r w:rsidR="006A5B15"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 starije i nemoćne osobe u 2025</w:t>
            </w:r>
            <w:r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godini, Uredbe o načinu financiranja decentraliziranih funkcija te izračuna iznosa pomoći izravnanja za decentral</w:t>
            </w:r>
            <w:r w:rsidR="006A5B15"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izirane funkcije JLP(R)S za 2025</w:t>
            </w:r>
            <w:r w:rsidRPr="006A5B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godinu, kao i drugih zakonskih i podzakonskih akata.</w:t>
            </w:r>
          </w:p>
        </w:tc>
      </w:tr>
      <w:tr w:rsidR="007327EF" w:rsidRPr="007327EF" w:rsidTr="00FF4BBF">
        <w:trPr>
          <w:trHeight w:val="3222"/>
          <w:tblCellSpacing w:w="20" w:type="dxa"/>
        </w:trPr>
        <w:tc>
          <w:tcPr>
            <w:tcW w:w="13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27EF" w:rsidRPr="007327EF" w:rsidRDefault="007327EF" w:rsidP="007327E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32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IZVRŠENJE PLANIRANIH SREDSTAVA: </w:t>
            </w:r>
          </w:p>
          <w:p w:rsidR="007327EF" w:rsidRPr="007327EF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37" w:type="dxa"/>
            <w:shd w:val="clear" w:color="auto" w:fill="auto"/>
          </w:tcPr>
          <w:p w:rsidR="007327EF" w:rsidRPr="007327EF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445"/>
              <w:tblOverlap w:val="never"/>
              <w:tblW w:w="7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6"/>
              <w:gridCol w:w="3975"/>
              <w:gridCol w:w="1275"/>
              <w:gridCol w:w="1277"/>
              <w:gridCol w:w="877"/>
            </w:tblGrid>
            <w:tr w:rsidR="007327EF" w:rsidRPr="007327EF" w:rsidTr="00FF4BBF">
              <w:trPr>
                <w:trHeight w:hRule="exact" w:val="587"/>
              </w:trPr>
              <w:tc>
                <w:tcPr>
                  <w:tcW w:w="349" w:type="pct"/>
                  <w:shd w:val="clear" w:color="auto" w:fill="E6E6E6"/>
                  <w:vAlign w:val="center"/>
                </w:tcPr>
                <w:p w:rsidR="007327EF" w:rsidRPr="007327EF" w:rsidRDefault="007327EF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R.b.</w:t>
                  </w:r>
                </w:p>
              </w:tc>
              <w:tc>
                <w:tcPr>
                  <w:tcW w:w="2497" w:type="pct"/>
                  <w:shd w:val="clear" w:color="auto" w:fill="E6E6E6"/>
                  <w:vAlign w:val="center"/>
                </w:tcPr>
                <w:p w:rsidR="007327EF" w:rsidRPr="007327EF" w:rsidRDefault="007327EF" w:rsidP="007327EF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801" w:type="pct"/>
                  <w:shd w:val="clear" w:color="auto" w:fill="E6E6E6"/>
                  <w:vAlign w:val="center"/>
                </w:tcPr>
                <w:p w:rsidR="007327EF" w:rsidRPr="007327EF" w:rsidRDefault="00BE5688" w:rsidP="007327EF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Plan                2025</w:t>
                  </w:r>
                  <w:r w:rsidR="007327EF"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.</w:t>
                  </w:r>
                </w:p>
              </w:tc>
              <w:tc>
                <w:tcPr>
                  <w:tcW w:w="802" w:type="pct"/>
                  <w:shd w:val="clear" w:color="auto" w:fill="E6E6E6"/>
                  <w:vAlign w:val="center"/>
                </w:tcPr>
                <w:p w:rsidR="007327EF" w:rsidRPr="007327EF" w:rsidRDefault="007327EF" w:rsidP="007327EF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 xml:space="preserve">Izvršenje       </w:t>
                  </w:r>
                  <w:r w:rsidR="00BE56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 xml:space="preserve"> 2025</w:t>
                  </w: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.</w:t>
                  </w:r>
                </w:p>
              </w:tc>
              <w:tc>
                <w:tcPr>
                  <w:tcW w:w="551" w:type="pct"/>
                  <w:shd w:val="clear" w:color="auto" w:fill="E6E6E6"/>
                  <w:vAlign w:val="center"/>
                </w:tcPr>
                <w:p w:rsidR="007327EF" w:rsidRPr="007327EF" w:rsidRDefault="007327EF" w:rsidP="007327EF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Indeks  (%)</w:t>
                  </w:r>
                </w:p>
              </w:tc>
            </w:tr>
            <w:tr w:rsidR="007327EF" w:rsidRPr="007327EF" w:rsidTr="00FF4BBF">
              <w:trPr>
                <w:trHeight w:hRule="exact" w:val="274"/>
              </w:trPr>
              <w:tc>
                <w:tcPr>
                  <w:tcW w:w="349" w:type="pct"/>
                  <w:shd w:val="clear" w:color="auto" w:fill="auto"/>
                  <w:vAlign w:val="center"/>
                </w:tcPr>
                <w:p w:rsidR="007327EF" w:rsidRPr="007327EF" w:rsidRDefault="007327EF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01.</w:t>
                  </w:r>
                </w:p>
              </w:tc>
              <w:tc>
                <w:tcPr>
                  <w:tcW w:w="2497" w:type="pct"/>
                  <w:shd w:val="clear" w:color="auto" w:fill="auto"/>
                  <w:vAlign w:val="center"/>
                </w:tcPr>
                <w:p w:rsidR="007327EF" w:rsidRPr="000E3AB2" w:rsidRDefault="007327EF" w:rsidP="00732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Stručno i administrativno osoblje</w:t>
                  </w:r>
                </w:p>
              </w:tc>
              <w:tc>
                <w:tcPr>
                  <w:tcW w:w="801" w:type="pct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4.164.267</w:t>
                  </w:r>
                  <w:r w:rsidR="007327EF"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,00</w:t>
                  </w:r>
                </w:p>
              </w:tc>
              <w:tc>
                <w:tcPr>
                  <w:tcW w:w="802" w:type="pct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4.254.357,28</w:t>
                  </w:r>
                </w:p>
              </w:tc>
              <w:tc>
                <w:tcPr>
                  <w:tcW w:w="551" w:type="pct"/>
                  <w:shd w:val="clear" w:color="auto" w:fill="auto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102,16</w:t>
                  </w:r>
                </w:p>
              </w:tc>
            </w:tr>
            <w:tr w:rsidR="007327EF" w:rsidRPr="007327EF" w:rsidTr="00FF4BBF">
              <w:trPr>
                <w:trHeight w:hRule="exact" w:val="292"/>
              </w:trPr>
              <w:tc>
                <w:tcPr>
                  <w:tcW w:w="349" w:type="pct"/>
                  <w:shd w:val="clear" w:color="auto" w:fill="auto"/>
                  <w:vAlign w:val="center"/>
                </w:tcPr>
                <w:p w:rsidR="007327EF" w:rsidRPr="007327EF" w:rsidRDefault="007327EF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02.</w:t>
                  </w:r>
                </w:p>
              </w:tc>
              <w:tc>
                <w:tcPr>
                  <w:tcW w:w="2497" w:type="pct"/>
                  <w:shd w:val="clear" w:color="auto" w:fill="auto"/>
                  <w:vAlign w:val="center"/>
                </w:tcPr>
                <w:p w:rsidR="007327EF" w:rsidRPr="000E3AB2" w:rsidRDefault="007327EF" w:rsidP="00732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Otplata kredita za Energetsku obnovu Doma</w:t>
                  </w:r>
                </w:p>
              </w:tc>
              <w:tc>
                <w:tcPr>
                  <w:tcW w:w="801" w:type="pct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114.652</w:t>
                  </w:r>
                  <w:r w:rsidR="007327EF"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,00</w:t>
                  </w:r>
                </w:p>
              </w:tc>
              <w:tc>
                <w:tcPr>
                  <w:tcW w:w="802" w:type="pct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114.643,87</w:t>
                  </w:r>
                </w:p>
              </w:tc>
              <w:tc>
                <w:tcPr>
                  <w:tcW w:w="551" w:type="pct"/>
                  <w:shd w:val="clear" w:color="auto" w:fill="auto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99,99</w:t>
                  </w:r>
                </w:p>
              </w:tc>
            </w:tr>
            <w:tr w:rsidR="007327EF" w:rsidRPr="007327EF" w:rsidTr="00FF4BBF">
              <w:trPr>
                <w:trHeight w:hRule="exact" w:val="292"/>
              </w:trPr>
              <w:tc>
                <w:tcPr>
                  <w:tcW w:w="349" w:type="pct"/>
                  <w:shd w:val="clear" w:color="auto" w:fill="auto"/>
                  <w:vAlign w:val="center"/>
                </w:tcPr>
                <w:p w:rsidR="007327EF" w:rsidRPr="007327EF" w:rsidRDefault="007327EF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03.</w:t>
                  </w:r>
                </w:p>
              </w:tc>
              <w:tc>
                <w:tcPr>
                  <w:tcW w:w="2497" w:type="pct"/>
                  <w:shd w:val="clear" w:color="auto" w:fill="auto"/>
                  <w:vAlign w:val="center"/>
                </w:tcPr>
                <w:p w:rsidR="007327EF" w:rsidRPr="000E3AB2" w:rsidRDefault="007327EF" w:rsidP="00732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Održavanje objekata</w:t>
                  </w:r>
                </w:p>
              </w:tc>
              <w:tc>
                <w:tcPr>
                  <w:tcW w:w="801" w:type="pct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35.036</w:t>
                  </w:r>
                  <w:r w:rsidR="007327EF"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,00</w:t>
                  </w:r>
                </w:p>
              </w:tc>
              <w:tc>
                <w:tcPr>
                  <w:tcW w:w="802" w:type="pct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34.997,09</w:t>
                  </w:r>
                </w:p>
              </w:tc>
              <w:tc>
                <w:tcPr>
                  <w:tcW w:w="551" w:type="pct"/>
                  <w:shd w:val="clear" w:color="auto" w:fill="auto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99,89</w:t>
                  </w:r>
                </w:p>
              </w:tc>
            </w:tr>
            <w:tr w:rsidR="007327EF" w:rsidRPr="007327EF" w:rsidTr="00FF4BBF">
              <w:trPr>
                <w:trHeight w:hRule="exact" w:val="438"/>
              </w:trPr>
              <w:tc>
                <w:tcPr>
                  <w:tcW w:w="349" w:type="pct"/>
                  <w:shd w:val="clear" w:color="auto" w:fill="E6E6E6"/>
                  <w:vAlign w:val="center"/>
                </w:tcPr>
                <w:p w:rsidR="007327EF" w:rsidRPr="007327EF" w:rsidRDefault="007327EF" w:rsidP="007327EF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497" w:type="pct"/>
                  <w:shd w:val="clear" w:color="auto" w:fill="E6E6E6"/>
                  <w:vAlign w:val="center"/>
                </w:tcPr>
                <w:p w:rsidR="007327EF" w:rsidRPr="00BE5688" w:rsidRDefault="007327EF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Ukupno program:</w:t>
                  </w:r>
                </w:p>
              </w:tc>
              <w:tc>
                <w:tcPr>
                  <w:tcW w:w="801" w:type="pct"/>
                  <w:shd w:val="clear" w:color="auto" w:fill="E6E6E6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  <w:t>4.313.955</w:t>
                  </w:r>
                  <w:r w:rsidR="007327EF" w:rsidRPr="000E3AB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  <w:t>,00</w:t>
                  </w:r>
                </w:p>
              </w:tc>
              <w:tc>
                <w:tcPr>
                  <w:tcW w:w="802" w:type="pct"/>
                  <w:shd w:val="clear" w:color="auto" w:fill="E6E6E6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  <w:t>4.403.998,24</w:t>
                  </w:r>
                </w:p>
              </w:tc>
              <w:tc>
                <w:tcPr>
                  <w:tcW w:w="551" w:type="pct"/>
                  <w:shd w:val="clear" w:color="auto" w:fill="E6E6E6"/>
                  <w:vAlign w:val="center"/>
                </w:tcPr>
                <w:p w:rsidR="007327EF" w:rsidRPr="000E3AB2" w:rsidRDefault="000E3AB2" w:rsidP="00732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</w:pPr>
                  <w:r w:rsidRPr="000E3AB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  <w:t>102,09</w:t>
                  </w:r>
                </w:p>
              </w:tc>
            </w:tr>
          </w:tbl>
          <w:p w:rsidR="007327EF" w:rsidRPr="007327EF" w:rsidRDefault="007327EF" w:rsidP="00D22A68">
            <w:pPr>
              <w:spacing w:before="120" w:after="0" w:line="240" w:lineRule="auto"/>
              <w:ind w:right="57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7327EF" w:rsidRPr="007327EF" w:rsidRDefault="007327EF" w:rsidP="007327EF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7327EF" w:rsidRPr="00D22A68" w:rsidRDefault="007327EF" w:rsidP="007327EF">
            <w:pPr>
              <w:numPr>
                <w:ilvl w:val="0"/>
                <w:numId w:val="19"/>
              </w:numPr>
              <w:spacing w:after="0" w:line="24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27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Stručno i administrativno osoblje</w:t>
            </w:r>
          </w:p>
          <w:p w:rsidR="007327EF" w:rsidRPr="005834EC" w:rsidRDefault="007327EF" w:rsidP="00D22A6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83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Unutar navedene aktivnosti sadržane su plaće (bruto) za zaposlene, ostali rashodi za zaposlene i doprinosi na plaće. Isto tako, ovdje se nalaze svi materijalni rashodi, financijski rashodi te ostale naknade građanima i kućanstvima iz proračuna.</w:t>
            </w:r>
          </w:p>
          <w:p w:rsidR="007327EF" w:rsidRPr="0050156A" w:rsidRDefault="007327EF" w:rsidP="00501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 za zaposlene, ostali rashodi za zaposlene i doprinosi na plaće financirani su iz više izvora financiranja. Tako se</w:t>
            </w:r>
            <w:r w:rsidR="0050156A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2025</w:t>
            </w:r>
            <w:r w:rsidR="00C60E08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godini</w:t>
            </w:r>
            <w:r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 izvora 11 (opći prihodi i primici – županijs</w:t>
            </w:r>
            <w:r w:rsidR="00C60E08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 proračun) dijelom financirala plaća</w:t>
            </w:r>
            <w:r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(bruto) za Dnevni centar te doprinosi na p</w:t>
            </w:r>
            <w:r w:rsidR="0050156A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laće u iznosu od 15.000</w:t>
            </w:r>
            <w:r w:rsidR="00493EAF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 eura</w:t>
            </w:r>
            <w:r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="0050156A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2025</w:t>
            </w:r>
            <w:r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godini iz izvora 11 dijelom su se financirali i rashodi za zapos</w:t>
            </w:r>
            <w:r w:rsidR="0050156A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lene u Domu i to u iznosu od 453.304</w:t>
            </w:r>
            <w:r w:rsidR="00493EAF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 eura</w:t>
            </w:r>
            <w:r w:rsidR="0050156A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(plaće (bruto) u iznosu od 373.304,00 eura i doprinosi na plaće u iznosu od 80.000,00 eura)</w:t>
            </w:r>
            <w:r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Iz izvora 43 (ostali prihodi za posebne namjene) financiraju se plaće (bruto), ostali rashodi za zaposlene </w:t>
            </w:r>
            <w:r w:rsidR="0050156A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doprinosi na plaće, a u 2025</w:t>
            </w:r>
            <w:r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</w:t>
            </w:r>
            <w:r w:rsidR="0050156A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 na navedeno je utrošeno 1.926.064,27</w:t>
            </w:r>
            <w:r w:rsidR="00E617E7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eura</w:t>
            </w:r>
            <w:r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Iz izvora 44 (decentralizirana sredstva) dijelom su se financirale plaće (bruto) i doprinosi na </w:t>
            </w:r>
            <w:r w:rsidR="0050156A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u iznosu od 792.349,44</w:t>
            </w:r>
            <w:r w:rsidR="00E617E7"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eura</w:t>
            </w:r>
            <w:r w:rsidRPr="00501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7327EF" w:rsidRPr="004D177C" w:rsidRDefault="00E617E7" w:rsidP="004D177C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91D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="00A91DA6" w:rsidRPr="00A91D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izvještajnom razdoblju </w:t>
            </w:r>
            <w:r w:rsidR="007327EF" w:rsidRPr="00A91D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vidljivo je</w:t>
            </w:r>
            <w:r w:rsidR="00A91DA6" w:rsidRPr="00A91D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7327EF" w:rsidRPr="00A91D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povećanje rashoda za zaposlene u odnosu na prethodnu godinu. </w:t>
            </w:r>
            <w:r w:rsidR="008330E6" w:rsidRPr="00A91D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Razlog povećanja navedene pozicije je taj što je od 01. ožujka 2024. godine na snagu stupila nova Uredba o nazivima radnih mjesta i koeficijentima složenosti poslova u javnim službama (NN 22/24), temeljem koje su bruto plaće i doprinosi na plaću mjese</w:t>
            </w:r>
            <w:r w:rsidR="00A2644D" w:rsidRPr="00A91D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čno znatno povećani.</w:t>
            </w:r>
            <w:r w:rsidR="00A91D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BE29B5" w:rsidRPr="00BE29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Isto tako, uvećana je osnovica za izračun plaće za 3% od 01.02.2025. (plaća za veljaču, isplata u ožujku) te dodatnih 3% od 01.09.2025. (plaća za rujan, isplata u listopadu). U izvještajnom razdoblju, zbog povećanog opsega poslova su zaposlene i neke osobe na određenim radnim mjestima.</w:t>
            </w:r>
          </w:p>
          <w:p w:rsidR="007327EF" w:rsidRPr="002A36DD" w:rsidRDefault="007327EF" w:rsidP="009E2492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36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Materijalni rashodi </w:t>
            </w:r>
            <w:r w:rsidR="005E5283" w:rsidRPr="002A36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razdoblju od 01.01.-31.12.2025</w:t>
            </w:r>
            <w:r w:rsidR="009E2492" w:rsidRPr="002A36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2A36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9E2492" w:rsidRPr="002A36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manji su </w:t>
            </w:r>
            <w:r w:rsidRPr="002A36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odnosu na prošlu godinu</w:t>
            </w:r>
            <w:r w:rsidR="002A36DD" w:rsidRPr="002A36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zbog smanjene potrošnje na pojedinim</w:t>
            </w:r>
            <w:r w:rsidR="009E2492" w:rsidRPr="002A36D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pozicijama.</w:t>
            </w:r>
          </w:p>
          <w:p w:rsidR="003376C7" w:rsidRPr="00F53CC2" w:rsidRDefault="003376C7" w:rsidP="009E2492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Fina</w:t>
            </w:r>
            <w:r w:rsidR="00F53CC2"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ncijski rashodi manji su u odnosu na 2024</w:t>
            </w:r>
            <w:r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godinu.</w:t>
            </w:r>
            <w:r w:rsidR="00F53CC2"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Razlog tome je što </w:t>
            </w:r>
            <w:r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 kamate za primljene kredite manje u odnosu na isto razdoblje prethodne godine,</w:t>
            </w:r>
            <w:r w:rsidR="00F53CC2"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 i znatno su smanjene </w:t>
            </w:r>
            <w:r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</w:t>
            </w:r>
            <w:r w:rsidR="00F53CC2"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atezne kamate</w:t>
            </w:r>
            <w:r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7327EF" w:rsidRPr="00F53CC2" w:rsidRDefault="007327EF" w:rsidP="003376C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</w:t>
            </w:r>
            <w:r w:rsidR="00F53CC2"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neznatno </w:t>
            </w:r>
            <w:r w:rsidR="003376C7"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</w:t>
            </w:r>
            <w:r w:rsidR="00F53CC2"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veće</w:t>
            </w:r>
            <w:r w:rsidR="003376C7" w:rsidRPr="00F53C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odnosu na prošlu godinu.</w:t>
            </w:r>
          </w:p>
          <w:p w:rsidR="007327EF" w:rsidRPr="00BE5688" w:rsidRDefault="007327EF" w:rsidP="00732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:rsidR="007327EF" w:rsidRPr="00D22A68" w:rsidRDefault="007327EF" w:rsidP="00D22A68">
            <w:pPr>
              <w:numPr>
                <w:ilvl w:val="0"/>
                <w:numId w:val="19"/>
              </w:numPr>
              <w:spacing w:after="0" w:line="24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27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Otplata kredita za Energetsku obnovu Doma</w:t>
            </w:r>
          </w:p>
          <w:p w:rsidR="007327EF" w:rsidRPr="00821657" w:rsidRDefault="007327EF" w:rsidP="00D22A6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 navedenoj aktivnosti vidljiva je otplata dvaju kredita uzetih za financiranje vlastite komponente prilikom provođenja projekta energetske obnove Doma. Ustanova se kreditno zadužila pri HBOR-u, a kako bi se financirali izvantroškovnički radovi ustanova se kreditno zadužila i kod Zagrebačke banke. Navedene otplate glavnica u potpunosti se financiraju sredstvima dobivenim iz proračuna Varaždinske županije. </w:t>
            </w:r>
            <w:r w:rsidR="00B21D00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ra</w:t>
            </w:r>
            <w:r w:rsidR="00821657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zdoblju od 01.01.-31.12.2025. otplaćen je iznos od 114.643,87</w:t>
            </w:r>
            <w:r w:rsidR="00B21D00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eura od čega se 82.742,44 eura</w:t>
            </w:r>
            <w:r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odnosi na otplatu glavnice kredit</w:t>
            </w:r>
            <w:r w:rsidR="00B21D00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 HBOR-a,</w:t>
            </w:r>
            <w:r w:rsidR="00821657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</w:t>
            </w:r>
            <w:r w:rsidR="00B21D00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25.123,44 eura</w:t>
            </w:r>
            <w:r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se odnosi na otplatu glavnice kredita Zagrebačke banke.</w:t>
            </w:r>
            <w:r w:rsidR="00B21D00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Kamate za kredit pri HBOR-u otplaćene su u iznosu</w:t>
            </w:r>
            <w:r w:rsidR="00821657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 4.084,42</w:t>
            </w:r>
            <w:r w:rsidR="00B21D00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eura, a kamate za kredit ko</w:t>
            </w:r>
            <w:r w:rsidR="00821657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 Zagrebačke banke u iznosu od 2.693,57</w:t>
            </w:r>
            <w:r w:rsidR="00B21D00" w:rsidRPr="008216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eura.</w:t>
            </w:r>
          </w:p>
          <w:p w:rsidR="007327EF" w:rsidRPr="007327EF" w:rsidRDefault="007327EF" w:rsidP="007327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327EF" w:rsidRPr="00D22A68" w:rsidRDefault="007327EF" w:rsidP="00D22A68">
            <w:pPr>
              <w:numPr>
                <w:ilvl w:val="0"/>
                <w:numId w:val="19"/>
              </w:numPr>
              <w:spacing w:after="0" w:line="24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27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Održavanje objekata</w:t>
            </w:r>
          </w:p>
          <w:p w:rsidR="00091596" w:rsidRDefault="00E751AA" w:rsidP="00D22A6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A804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Unutar navedene aktivnosti nalazi se izvor financira</w:t>
            </w:r>
            <w:r w:rsidR="00A804C4" w:rsidRPr="00A804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nja </w:t>
            </w:r>
            <w:r w:rsidR="007327EF" w:rsidRPr="00A804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 (decentralizirana sredstv</w:t>
            </w:r>
            <w:r w:rsidRPr="00A804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a)</w:t>
            </w:r>
            <w:r w:rsidR="00A804C4" w:rsidRPr="00A804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kojim se  prikazuju</w:t>
            </w:r>
            <w:r w:rsidR="007327EF" w:rsidRPr="00A804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sredstva koja se koriste za hitne intervencije i kupnju nefinancijske imovine sukladno Popisu prioriteta. </w:t>
            </w:r>
            <w:r w:rsidR="007327EF" w:rsidRPr="00C445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Tako je u razdoblju od 01.01.-31.12.</w:t>
            </w:r>
            <w:r w:rsidR="00A804C4" w:rsidRPr="00C445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2025</w:t>
            </w:r>
            <w:r w:rsidRPr="00C445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7327EF" w:rsidRPr="00C445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 pozicije hitne intervenci</w:t>
            </w:r>
            <w:r w:rsidR="00C445C9" w:rsidRPr="00C445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 ukupno utrošeno 19.881,35</w:t>
            </w:r>
            <w:r w:rsidRPr="00C445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eura (15.926,00 eura</w:t>
            </w:r>
            <w:r w:rsidR="007327EF" w:rsidRPr="00C445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je utrošeno na usluge tekućeg i investicijskog održavanja, a ostatak je utrošen za kupnju opreme). </w:t>
            </w:r>
            <w:r w:rsidR="007327EF" w:rsidRPr="000915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Prema odobrenom Popisu </w:t>
            </w:r>
            <w:r w:rsidR="00091596" w:rsidRPr="000915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prioriteta u iznosu od 13.260,74</w:t>
            </w:r>
            <w:r w:rsidRPr="000915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eura</w:t>
            </w:r>
            <w:r w:rsidR="00091596" w:rsidRPr="000915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kupljena je planirana oprema.</w:t>
            </w:r>
          </w:p>
          <w:p w:rsidR="007327EF" w:rsidRPr="00C301D6" w:rsidRDefault="00091596" w:rsidP="00767E38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67E3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Izvor financiranja 71 prikazuje </w:t>
            </w:r>
            <w:r w:rsidR="000119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prihode od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nefinancijske imovine kojima je financirana kupnja komunikacijske opreme</w:t>
            </w:r>
            <w:r w:rsidR="00767E3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7327EF" w:rsidRPr="007327EF" w:rsidTr="00FF4BBF">
        <w:trPr>
          <w:trHeight w:val="193"/>
          <w:tblCellSpacing w:w="20" w:type="dxa"/>
        </w:trPr>
        <w:tc>
          <w:tcPr>
            <w:tcW w:w="102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27EF" w:rsidRPr="007327EF" w:rsidRDefault="007327EF" w:rsidP="007327EF">
            <w:pPr>
              <w:spacing w:before="120" w:after="0" w:line="240" w:lineRule="auto"/>
              <w:ind w:right="-2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32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 xml:space="preserve">CILJEVI I POKAZATELJI USPJEŠNOSTI KOJIMA ĆE SE MJERITI OSTVARENJE CILJEVA: </w:t>
            </w:r>
          </w:p>
          <w:p w:rsidR="007327EF" w:rsidRPr="00D36E35" w:rsidRDefault="007327EF" w:rsidP="007327EF">
            <w:pPr>
              <w:spacing w:before="120" w:after="0" w:line="240" w:lineRule="auto"/>
              <w:ind w:left="9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36E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STRATEŠKI CILJ: Poboljšati kvalitetu života starijih osoba (korisnika) i zadovoljstvo zaposlenika</w:t>
            </w:r>
          </w:p>
          <w:p w:rsidR="007327EF" w:rsidRPr="00D36E35" w:rsidRDefault="007327EF" w:rsidP="007327EF">
            <w:pPr>
              <w:spacing w:before="60" w:after="0" w:line="240" w:lineRule="auto"/>
              <w:ind w:left="98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x-none"/>
              </w:rPr>
            </w:pPr>
            <w:r w:rsidRPr="00D36E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PRIORITET: Stalna zainteresiranost za smještaj u ustanovi, bolji uvjeti smještaja te zadovoljstvo zaposlenika ustanove </w:t>
            </w:r>
          </w:p>
          <w:p w:rsidR="007327EF" w:rsidRPr="00D36E35" w:rsidRDefault="007327EF" w:rsidP="00D22A68">
            <w:pPr>
              <w:spacing w:before="60" w:after="12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6E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MJERA: Komunikacija</w:t>
            </w:r>
            <w:r w:rsidR="00D22A68" w:rsidRPr="00D36E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sa korisnicima i zaposlenicima</w:t>
            </w:r>
          </w:p>
          <w:tbl>
            <w:tblPr>
              <w:tblW w:w="101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2049"/>
              <w:gridCol w:w="1366"/>
              <w:gridCol w:w="1118"/>
              <w:gridCol w:w="1297"/>
              <w:gridCol w:w="1116"/>
              <w:gridCol w:w="1130"/>
            </w:tblGrid>
            <w:tr w:rsidR="00D22A68" w:rsidRPr="007327EF" w:rsidTr="00D22A68">
              <w:trPr>
                <w:trHeight w:hRule="exact" w:val="664"/>
                <w:jc w:val="center"/>
              </w:trPr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7327EF" w:rsidRPr="007327EF" w:rsidRDefault="007327EF" w:rsidP="007327EF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  <w:t>Pokazatelj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327EF" w:rsidRPr="007327EF" w:rsidRDefault="007327EF" w:rsidP="007327EF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Definicija</w:t>
                  </w:r>
                </w:p>
              </w:tc>
              <w:tc>
                <w:tcPr>
                  <w:tcW w:w="6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327EF" w:rsidRPr="007327EF" w:rsidRDefault="007327EF" w:rsidP="007327EF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Jedinica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327EF" w:rsidRPr="007327EF" w:rsidRDefault="007327EF" w:rsidP="007327EF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Polazna vrijednost</w:t>
                  </w:r>
                </w:p>
              </w:tc>
              <w:tc>
                <w:tcPr>
                  <w:tcW w:w="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327EF" w:rsidRPr="007327EF" w:rsidRDefault="007327EF" w:rsidP="007327EF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Izvor podataka</w:t>
                  </w: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327EF" w:rsidRPr="007327EF" w:rsidRDefault="00B23568" w:rsidP="007327EF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Ciljana vrijednost 2025</w:t>
                  </w:r>
                  <w:r w:rsidR="007327EF"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.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327EF" w:rsidRPr="007327EF" w:rsidRDefault="007327EF" w:rsidP="007327EF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Izvrše</w:t>
                  </w:r>
                  <w:r w:rsidR="00B2356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no 2025</w:t>
                  </w:r>
                  <w:r w:rsidRPr="007327E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.</w:t>
                  </w:r>
                </w:p>
              </w:tc>
            </w:tr>
            <w:tr w:rsidR="00D22A68" w:rsidRPr="007327EF" w:rsidTr="00D22A68">
              <w:trPr>
                <w:trHeight w:val="926"/>
                <w:jc w:val="center"/>
              </w:trPr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B23568" w:rsidP="007327EF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Velika zainteresiranost  potencijalnih korisnika za smještaj u naš Dom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568" w:rsidRPr="007327EF" w:rsidRDefault="00B23568" w:rsidP="007327EF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Kvalitetna usluga</w:t>
                  </w:r>
                  <w:r w:rsidRPr="007327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posvećenost korisnicima, zadovoljstvo trenutnih korisnika</w:t>
                  </w:r>
                </w:p>
              </w:tc>
              <w:tc>
                <w:tcPr>
                  <w:tcW w:w="6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B23568" w:rsidP="007327EF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7327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Broj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potencijalnih</w:t>
                  </w:r>
                  <w:r w:rsidRPr="007327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korisnika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B23568" w:rsidP="007327EF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2.782</w:t>
                  </w:r>
                </w:p>
              </w:tc>
              <w:tc>
                <w:tcPr>
                  <w:tcW w:w="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B23568" w:rsidP="007327EF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Evidencija liste čekanja</w:t>
                  </w: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B23568" w:rsidP="00B2356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2.790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B23568" w:rsidP="00B973DC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3.059</w:t>
                  </w:r>
                </w:p>
              </w:tc>
            </w:tr>
            <w:tr w:rsidR="00D22A68" w:rsidRPr="007327EF" w:rsidTr="00D22A68">
              <w:trPr>
                <w:trHeight w:hRule="exact" w:val="892"/>
                <w:jc w:val="center"/>
              </w:trPr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Stalna popunjenost kapaciteta ustanove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Kvalitetni aspekti zdravstvene, socijalne i administrativne skrbi</w:t>
                  </w:r>
                </w:p>
              </w:tc>
              <w:tc>
                <w:tcPr>
                  <w:tcW w:w="6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Broj korisnika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360</w:t>
                  </w:r>
                </w:p>
              </w:tc>
              <w:tc>
                <w:tcPr>
                  <w:tcW w:w="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Evidencije korisnika ustanove</w:t>
                  </w: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360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49C" w:rsidRPr="007327EF" w:rsidRDefault="00A8549C" w:rsidP="00A854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hr-HR"/>
                    </w:rPr>
                  </w:pPr>
                  <w:r w:rsidRPr="00A854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360</w:t>
                  </w:r>
                </w:p>
              </w:tc>
            </w:tr>
            <w:tr w:rsidR="00D22A68" w:rsidRPr="007327EF" w:rsidTr="00D22A68">
              <w:trPr>
                <w:trHeight w:hRule="exact" w:val="944"/>
                <w:jc w:val="center"/>
              </w:trPr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Kvalitetno provođenje slobodnog vremena te dostojanstven i sadržajima bogat boravak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Uključivanje i velika zainteresiranost korisnika</w:t>
                  </w:r>
                </w:p>
              </w:tc>
              <w:tc>
                <w:tcPr>
                  <w:tcW w:w="6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Broj korisnika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115</w:t>
                  </w:r>
                </w:p>
              </w:tc>
              <w:tc>
                <w:tcPr>
                  <w:tcW w:w="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Evidencije korisnika aktivnosti</w:t>
                  </w: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130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3568" w:rsidRPr="007327EF" w:rsidRDefault="00A8549C" w:rsidP="00732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hr-HR"/>
                    </w:rPr>
                  </w:pPr>
                  <w:r w:rsidRPr="00A854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152</w:t>
                  </w:r>
                </w:p>
              </w:tc>
            </w:tr>
          </w:tbl>
          <w:p w:rsidR="007327EF" w:rsidRPr="007327EF" w:rsidRDefault="007327EF" w:rsidP="00D22A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327EF" w:rsidRPr="007327EF" w:rsidRDefault="007327EF" w:rsidP="00D22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65B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Provedbom programa većinom su ostvareni svi plan</w:t>
            </w:r>
            <w:r w:rsidR="00D36E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irani ciljevi. I</w:t>
            </w:r>
            <w:r w:rsidRPr="00C65B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dalje postoji velika zainteresiranost potencijalnih </w:t>
            </w:r>
            <w:r w:rsidR="00D36E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korisnika za smještaj u naš Dom pa se tako </w:t>
            </w:r>
            <w:r w:rsidRPr="00C65B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listi č</w:t>
            </w:r>
            <w:r w:rsidR="00C65B2E" w:rsidRPr="00C65B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ek</w:t>
            </w:r>
            <w:r w:rsidR="00D36E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anja na dan 31.12.2025</w:t>
            </w:r>
            <w:r w:rsidRPr="00C65B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Pr="00872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nalazilo </w:t>
            </w:r>
            <w:r w:rsidR="00D36E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3.059</w:t>
            </w:r>
            <w:r w:rsidRPr="00872B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ljudi. </w:t>
            </w:r>
            <w:r w:rsidR="00D36E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Postoji stalna popunjenost kapaciteta ustanove te velik broj zainteresiranih korisnika koji se uključuju u kvalitetno provođenje slobodnog vremena.</w:t>
            </w:r>
          </w:p>
        </w:tc>
      </w:tr>
    </w:tbl>
    <w:p w:rsidR="00FF4BBF" w:rsidRDefault="00FF4BBF" w:rsidP="001913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4BBF" w:rsidRPr="005718EF" w:rsidRDefault="00BE5688" w:rsidP="00FF4B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2186-1-25/01-26</w:t>
      </w:r>
      <w:r w:rsidR="00AB6776" w:rsidRPr="005718EF">
        <w:rPr>
          <w:rFonts w:ascii="Times New Roman" w:hAnsi="Times New Roman" w:cs="Times New Roman"/>
          <w:sz w:val="24"/>
          <w:szCs w:val="24"/>
        </w:rPr>
        <w:t>/</w:t>
      </w:r>
      <w:r w:rsidR="005718EF" w:rsidRPr="005718EF">
        <w:rPr>
          <w:rFonts w:ascii="Times New Roman" w:hAnsi="Times New Roman" w:cs="Times New Roman"/>
          <w:sz w:val="24"/>
          <w:szCs w:val="24"/>
        </w:rPr>
        <w:t>19-3</w:t>
      </w:r>
      <w:r w:rsidR="00FF4BBF" w:rsidRPr="005718EF">
        <w:rPr>
          <w:rFonts w:ascii="Times New Roman" w:hAnsi="Times New Roman" w:cs="Times New Roman"/>
          <w:sz w:val="24"/>
          <w:szCs w:val="24"/>
        </w:rPr>
        <w:t>-1</w:t>
      </w:r>
    </w:p>
    <w:p w:rsidR="00AB6776" w:rsidRPr="007C173A" w:rsidRDefault="00FF4BBF" w:rsidP="00FF4B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173A">
        <w:rPr>
          <w:rFonts w:ascii="Times New Roman" w:hAnsi="Times New Roman" w:cs="Times New Roman"/>
          <w:sz w:val="24"/>
          <w:szCs w:val="24"/>
        </w:rPr>
        <w:t xml:space="preserve">U Varaždinu, </w:t>
      </w:r>
      <w:r w:rsidR="00843794" w:rsidRPr="00843794">
        <w:rPr>
          <w:rFonts w:ascii="Times New Roman" w:hAnsi="Times New Roman" w:cs="Times New Roman"/>
          <w:sz w:val="24"/>
          <w:szCs w:val="24"/>
        </w:rPr>
        <w:t>31</w:t>
      </w:r>
      <w:r w:rsidRPr="00843794">
        <w:rPr>
          <w:rFonts w:ascii="Times New Roman" w:hAnsi="Times New Roman" w:cs="Times New Roman"/>
          <w:sz w:val="24"/>
          <w:szCs w:val="24"/>
        </w:rPr>
        <w:t>.</w:t>
      </w:r>
      <w:r w:rsidR="00BE5688" w:rsidRPr="00843794">
        <w:rPr>
          <w:rFonts w:ascii="Times New Roman" w:hAnsi="Times New Roman" w:cs="Times New Roman"/>
          <w:sz w:val="24"/>
          <w:szCs w:val="24"/>
        </w:rPr>
        <w:t>03</w:t>
      </w:r>
      <w:r w:rsidR="00BE5688">
        <w:rPr>
          <w:rFonts w:ascii="Times New Roman" w:hAnsi="Times New Roman" w:cs="Times New Roman"/>
          <w:sz w:val="24"/>
          <w:szCs w:val="24"/>
        </w:rPr>
        <w:t>.2026</w:t>
      </w:r>
      <w:r w:rsidR="00D36E35">
        <w:rPr>
          <w:rFonts w:ascii="Times New Roman" w:hAnsi="Times New Roman" w:cs="Times New Roman"/>
          <w:sz w:val="24"/>
          <w:szCs w:val="24"/>
        </w:rPr>
        <w:t>.</w:t>
      </w:r>
    </w:p>
    <w:p w:rsidR="00FF4BBF" w:rsidRPr="00750822" w:rsidRDefault="00FF4BBF" w:rsidP="00FF4BBF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4BBF" w:rsidRPr="00E35876" w:rsidRDefault="00FF4BBF" w:rsidP="0019130E">
      <w:pPr>
        <w:spacing w:after="120" w:line="240" w:lineRule="auto"/>
        <w:ind w:left="495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587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Upravnog vijeća:</w:t>
      </w:r>
    </w:p>
    <w:p w:rsidR="00237E31" w:rsidRPr="00237E31" w:rsidRDefault="007C4955" w:rsidP="00D36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</w:t>
      </w:r>
      <w:r w:rsidR="00B615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Anica Sitar, prof.</w:t>
      </w:r>
    </w:p>
    <w:sectPr w:rsidR="00237E31" w:rsidRPr="00237E31" w:rsidSect="00D36E35">
      <w:footerReference w:type="default" r:id="rId14"/>
      <w:pgSz w:w="11906" w:h="16838" w:code="9"/>
      <w:pgMar w:top="1418" w:right="155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AC" w:rsidRDefault="00D111AC" w:rsidP="007C4955">
      <w:pPr>
        <w:spacing w:after="0" w:line="240" w:lineRule="auto"/>
      </w:pPr>
      <w:r>
        <w:separator/>
      </w:r>
    </w:p>
  </w:endnote>
  <w:endnote w:type="continuationSeparator" w:id="0">
    <w:p w:rsidR="00D111AC" w:rsidRDefault="00D111AC" w:rsidP="007C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54" w:rsidRDefault="000A1A54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:rsidR="000A1A54" w:rsidRDefault="000A1A5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54" w:rsidRPr="006C64EC" w:rsidRDefault="000A1A54">
    <w:pPr>
      <w:pStyle w:val="Podnoje"/>
      <w:jc w:val="center"/>
      <w:rPr>
        <w:sz w:val="20"/>
        <w:szCs w:val="20"/>
      </w:rPr>
    </w:pPr>
  </w:p>
  <w:p w:rsidR="000A1A54" w:rsidRPr="008F459A" w:rsidRDefault="000A1A54" w:rsidP="00FF4BBF">
    <w:pPr>
      <w:pStyle w:val="Podnoje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54" w:rsidRDefault="000A1A54" w:rsidP="00D664E0">
    <w:pPr>
      <w:pStyle w:val="Podnoje"/>
      <w:ind w:firstLine="200"/>
      <w:jc w:val="right"/>
    </w:pPr>
  </w:p>
  <w:p w:rsidR="000A1A54" w:rsidRDefault="000A1A54" w:rsidP="00D664E0">
    <w:pPr>
      <w:pStyle w:val="Podnoje"/>
      <w:ind w:firstLine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AC" w:rsidRDefault="00D111AC" w:rsidP="007C4955">
      <w:pPr>
        <w:spacing w:after="0" w:line="240" w:lineRule="auto"/>
      </w:pPr>
      <w:r>
        <w:separator/>
      </w:r>
    </w:p>
  </w:footnote>
  <w:footnote w:type="continuationSeparator" w:id="0">
    <w:p w:rsidR="00D111AC" w:rsidRDefault="00D111AC" w:rsidP="007C4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F7B"/>
    <w:multiLevelType w:val="hybridMultilevel"/>
    <w:tmpl w:val="B30A1BD2"/>
    <w:lvl w:ilvl="0" w:tplc="4C8C1A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B4C66"/>
    <w:multiLevelType w:val="hybridMultilevel"/>
    <w:tmpl w:val="79A2CC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5BC1"/>
    <w:multiLevelType w:val="hybridMultilevel"/>
    <w:tmpl w:val="8226585C"/>
    <w:lvl w:ilvl="0" w:tplc="FFA88C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6CE8"/>
    <w:multiLevelType w:val="hybridMultilevel"/>
    <w:tmpl w:val="EE54D60E"/>
    <w:lvl w:ilvl="0" w:tplc="8C82E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E0C78"/>
    <w:multiLevelType w:val="hybridMultilevel"/>
    <w:tmpl w:val="F50449A4"/>
    <w:lvl w:ilvl="0" w:tplc="ABE88C5C">
      <w:numFmt w:val="bullet"/>
      <w:lvlText w:val="•"/>
      <w:lvlJc w:val="left"/>
      <w:pPr>
        <w:ind w:left="1146" w:hanging="360"/>
      </w:pPr>
      <w:rPr>
        <w:rFonts w:ascii="Arial" w:eastAsia="Times New Roman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321565"/>
    <w:multiLevelType w:val="hybridMultilevel"/>
    <w:tmpl w:val="366899DC"/>
    <w:lvl w:ilvl="0" w:tplc="40E620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574340"/>
    <w:multiLevelType w:val="hybridMultilevel"/>
    <w:tmpl w:val="539C05BA"/>
    <w:lvl w:ilvl="0" w:tplc="ABE88C5C">
      <w:numFmt w:val="bullet"/>
      <w:lvlText w:val="•"/>
      <w:lvlJc w:val="left"/>
      <w:pPr>
        <w:ind w:left="1146" w:hanging="360"/>
      </w:pPr>
      <w:rPr>
        <w:rFonts w:ascii="Arial" w:eastAsia="Times New Roman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4EE0133"/>
    <w:multiLevelType w:val="hybridMultilevel"/>
    <w:tmpl w:val="6040F02A"/>
    <w:lvl w:ilvl="0" w:tplc="ABE88C5C">
      <w:numFmt w:val="bullet"/>
      <w:lvlText w:val="•"/>
      <w:lvlJc w:val="left"/>
      <w:pPr>
        <w:ind w:left="1146" w:hanging="360"/>
      </w:pPr>
      <w:rPr>
        <w:rFonts w:ascii="Arial" w:eastAsia="Times New Roman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5766880"/>
    <w:multiLevelType w:val="hybridMultilevel"/>
    <w:tmpl w:val="DF4E4B96"/>
    <w:lvl w:ilvl="0" w:tplc="8C82E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8570F"/>
    <w:multiLevelType w:val="hybridMultilevel"/>
    <w:tmpl w:val="899EDAA8"/>
    <w:lvl w:ilvl="0" w:tplc="52BEA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155A2"/>
    <w:multiLevelType w:val="hybridMultilevel"/>
    <w:tmpl w:val="DE38A228"/>
    <w:lvl w:ilvl="0" w:tplc="ABE88C5C">
      <w:numFmt w:val="bullet"/>
      <w:lvlText w:val="•"/>
      <w:lvlJc w:val="left"/>
      <w:pPr>
        <w:ind w:left="1145" w:hanging="360"/>
      </w:pPr>
      <w:rPr>
        <w:rFonts w:ascii="Arial" w:eastAsia="Times New Roman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8117B2A"/>
    <w:multiLevelType w:val="hybridMultilevel"/>
    <w:tmpl w:val="ACC48076"/>
    <w:lvl w:ilvl="0" w:tplc="8C82E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56DBD"/>
    <w:multiLevelType w:val="hybridMultilevel"/>
    <w:tmpl w:val="9A424C9C"/>
    <w:lvl w:ilvl="0" w:tplc="F0020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4A96FC">
      <w:numFmt w:val="none"/>
      <w:lvlText w:val=""/>
      <w:lvlJc w:val="left"/>
      <w:pPr>
        <w:tabs>
          <w:tab w:val="num" w:pos="360"/>
        </w:tabs>
      </w:pPr>
    </w:lvl>
    <w:lvl w:ilvl="2" w:tplc="DBF628A0">
      <w:numFmt w:val="none"/>
      <w:lvlText w:val=""/>
      <w:lvlJc w:val="left"/>
      <w:pPr>
        <w:tabs>
          <w:tab w:val="num" w:pos="360"/>
        </w:tabs>
      </w:pPr>
    </w:lvl>
    <w:lvl w:ilvl="3" w:tplc="F6C0A9A8">
      <w:numFmt w:val="none"/>
      <w:lvlText w:val=""/>
      <w:lvlJc w:val="left"/>
      <w:pPr>
        <w:tabs>
          <w:tab w:val="num" w:pos="360"/>
        </w:tabs>
      </w:pPr>
    </w:lvl>
    <w:lvl w:ilvl="4" w:tplc="226E3F14">
      <w:numFmt w:val="none"/>
      <w:lvlText w:val=""/>
      <w:lvlJc w:val="left"/>
      <w:pPr>
        <w:tabs>
          <w:tab w:val="num" w:pos="360"/>
        </w:tabs>
      </w:pPr>
    </w:lvl>
    <w:lvl w:ilvl="5" w:tplc="37ECCA8E">
      <w:numFmt w:val="none"/>
      <w:lvlText w:val=""/>
      <w:lvlJc w:val="left"/>
      <w:pPr>
        <w:tabs>
          <w:tab w:val="num" w:pos="360"/>
        </w:tabs>
      </w:pPr>
    </w:lvl>
    <w:lvl w:ilvl="6" w:tplc="63F87DDA">
      <w:numFmt w:val="none"/>
      <w:lvlText w:val=""/>
      <w:lvlJc w:val="left"/>
      <w:pPr>
        <w:tabs>
          <w:tab w:val="num" w:pos="360"/>
        </w:tabs>
      </w:pPr>
    </w:lvl>
    <w:lvl w:ilvl="7" w:tplc="7F44EF2C">
      <w:numFmt w:val="none"/>
      <w:lvlText w:val=""/>
      <w:lvlJc w:val="left"/>
      <w:pPr>
        <w:tabs>
          <w:tab w:val="num" w:pos="360"/>
        </w:tabs>
      </w:pPr>
    </w:lvl>
    <w:lvl w:ilvl="8" w:tplc="0772F4E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EC90F6B"/>
    <w:multiLevelType w:val="hybridMultilevel"/>
    <w:tmpl w:val="FA7AAF36"/>
    <w:lvl w:ilvl="0" w:tplc="FECEB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8364F"/>
    <w:multiLevelType w:val="hybridMultilevel"/>
    <w:tmpl w:val="AC862B10"/>
    <w:lvl w:ilvl="0" w:tplc="8C82E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D4660"/>
    <w:multiLevelType w:val="hybridMultilevel"/>
    <w:tmpl w:val="AC862B10"/>
    <w:lvl w:ilvl="0" w:tplc="8C82E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74C16"/>
    <w:multiLevelType w:val="hybridMultilevel"/>
    <w:tmpl w:val="4222979E"/>
    <w:lvl w:ilvl="0" w:tplc="ABE88C5C">
      <w:numFmt w:val="bullet"/>
      <w:lvlText w:val="•"/>
      <w:lvlJc w:val="left"/>
      <w:pPr>
        <w:ind w:left="1004" w:hanging="360"/>
      </w:pPr>
      <w:rPr>
        <w:rFonts w:ascii="Arial" w:eastAsia="Times New Roman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EDE7CDE"/>
    <w:multiLevelType w:val="hybridMultilevel"/>
    <w:tmpl w:val="11A2B3D4"/>
    <w:lvl w:ilvl="0" w:tplc="81C60888">
      <w:start w:val="1"/>
      <w:numFmt w:val="upperRoman"/>
      <w:lvlText w:val="%1."/>
      <w:lvlJc w:val="left"/>
      <w:pPr>
        <w:ind w:left="3128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488" w:hanging="360"/>
      </w:pPr>
    </w:lvl>
    <w:lvl w:ilvl="2" w:tplc="041A001B" w:tentative="1">
      <w:start w:val="1"/>
      <w:numFmt w:val="lowerRoman"/>
      <w:lvlText w:val="%3."/>
      <w:lvlJc w:val="right"/>
      <w:pPr>
        <w:ind w:left="4208" w:hanging="180"/>
      </w:pPr>
    </w:lvl>
    <w:lvl w:ilvl="3" w:tplc="041A000F" w:tentative="1">
      <w:start w:val="1"/>
      <w:numFmt w:val="decimal"/>
      <w:lvlText w:val="%4."/>
      <w:lvlJc w:val="left"/>
      <w:pPr>
        <w:ind w:left="4928" w:hanging="360"/>
      </w:pPr>
    </w:lvl>
    <w:lvl w:ilvl="4" w:tplc="041A0019" w:tentative="1">
      <w:start w:val="1"/>
      <w:numFmt w:val="lowerLetter"/>
      <w:lvlText w:val="%5."/>
      <w:lvlJc w:val="left"/>
      <w:pPr>
        <w:ind w:left="5648" w:hanging="360"/>
      </w:pPr>
    </w:lvl>
    <w:lvl w:ilvl="5" w:tplc="041A001B" w:tentative="1">
      <w:start w:val="1"/>
      <w:numFmt w:val="lowerRoman"/>
      <w:lvlText w:val="%6."/>
      <w:lvlJc w:val="right"/>
      <w:pPr>
        <w:ind w:left="6368" w:hanging="180"/>
      </w:pPr>
    </w:lvl>
    <w:lvl w:ilvl="6" w:tplc="041A000F" w:tentative="1">
      <w:start w:val="1"/>
      <w:numFmt w:val="decimal"/>
      <w:lvlText w:val="%7."/>
      <w:lvlJc w:val="left"/>
      <w:pPr>
        <w:ind w:left="7088" w:hanging="360"/>
      </w:pPr>
    </w:lvl>
    <w:lvl w:ilvl="7" w:tplc="041A0019" w:tentative="1">
      <w:start w:val="1"/>
      <w:numFmt w:val="lowerLetter"/>
      <w:lvlText w:val="%8."/>
      <w:lvlJc w:val="left"/>
      <w:pPr>
        <w:ind w:left="7808" w:hanging="360"/>
      </w:pPr>
    </w:lvl>
    <w:lvl w:ilvl="8" w:tplc="041A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18">
    <w:nsid w:val="79DA6CF1"/>
    <w:multiLevelType w:val="hybridMultilevel"/>
    <w:tmpl w:val="A3381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5"/>
  </w:num>
  <w:num w:numId="5">
    <w:abstractNumId w:val="16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8"/>
  </w:num>
  <w:num w:numId="14">
    <w:abstractNumId w:val="3"/>
  </w:num>
  <w:num w:numId="15">
    <w:abstractNumId w:val="17"/>
  </w:num>
  <w:num w:numId="16">
    <w:abstractNumId w:val="12"/>
  </w:num>
  <w:num w:numId="17">
    <w:abstractNumId w:val="1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92"/>
    <w:rsid w:val="00000113"/>
    <w:rsid w:val="000119D1"/>
    <w:rsid w:val="000248C2"/>
    <w:rsid w:val="000347C3"/>
    <w:rsid w:val="00036AF2"/>
    <w:rsid w:val="00037E1A"/>
    <w:rsid w:val="00051455"/>
    <w:rsid w:val="00053BCC"/>
    <w:rsid w:val="00054FC5"/>
    <w:rsid w:val="00056618"/>
    <w:rsid w:val="00060109"/>
    <w:rsid w:val="00065049"/>
    <w:rsid w:val="00073766"/>
    <w:rsid w:val="00073856"/>
    <w:rsid w:val="000839CB"/>
    <w:rsid w:val="00085AC0"/>
    <w:rsid w:val="00091596"/>
    <w:rsid w:val="0009393F"/>
    <w:rsid w:val="00093C5C"/>
    <w:rsid w:val="000A1A54"/>
    <w:rsid w:val="000A7A55"/>
    <w:rsid w:val="000B064B"/>
    <w:rsid w:val="000C6E6D"/>
    <w:rsid w:val="000C7567"/>
    <w:rsid w:val="000C7FA9"/>
    <w:rsid w:val="000D128E"/>
    <w:rsid w:val="000D4485"/>
    <w:rsid w:val="000E3AB2"/>
    <w:rsid w:val="000E568E"/>
    <w:rsid w:val="00104ED7"/>
    <w:rsid w:val="001050E9"/>
    <w:rsid w:val="00107097"/>
    <w:rsid w:val="001105F8"/>
    <w:rsid w:val="001131BF"/>
    <w:rsid w:val="00116F29"/>
    <w:rsid w:val="00117AE2"/>
    <w:rsid w:val="00124AA8"/>
    <w:rsid w:val="00125A95"/>
    <w:rsid w:val="0013189C"/>
    <w:rsid w:val="001328B8"/>
    <w:rsid w:val="001375A6"/>
    <w:rsid w:val="001429B8"/>
    <w:rsid w:val="00143A0F"/>
    <w:rsid w:val="00147AF6"/>
    <w:rsid w:val="00147E94"/>
    <w:rsid w:val="001530CF"/>
    <w:rsid w:val="001579FD"/>
    <w:rsid w:val="00166D77"/>
    <w:rsid w:val="00180150"/>
    <w:rsid w:val="00184569"/>
    <w:rsid w:val="00187EFC"/>
    <w:rsid w:val="0019130E"/>
    <w:rsid w:val="00194BB5"/>
    <w:rsid w:val="00194E56"/>
    <w:rsid w:val="001A009A"/>
    <w:rsid w:val="001A0B47"/>
    <w:rsid w:val="001A2602"/>
    <w:rsid w:val="001B3173"/>
    <w:rsid w:val="001B7F0E"/>
    <w:rsid w:val="001C0429"/>
    <w:rsid w:val="001C5B5C"/>
    <w:rsid w:val="001D0D63"/>
    <w:rsid w:val="001F5928"/>
    <w:rsid w:val="001F78A1"/>
    <w:rsid w:val="00200827"/>
    <w:rsid w:val="0020174D"/>
    <w:rsid w:val="00201762"/>
    <w:rsid w:val="002077DD"/>
    <w:rsid w:val="00207802"/>
    <w:rsid w:val="002108D2"/>
    <w:rsid w:val="00217088"/>
    <w:rsid w:val="00224BAB"/>
    <w:rsid w:val="00237E31"/>
    <w:rsid w:val="00244BCD"/>
    <w:rsid w:val="00250C44"/>
    <w:rsid w:val="002549EC"/>
    <w:rsid w:val="00265612"/>
    <w:rsid w:val="002904CC"/>
    <w:rsid w:val="0029083A"/>
    <w:rsid w:val="002911F1"/>
    <w:rsid w:val="00294297"/>
    <w:rsid w:val="002A1B4A"/>
    <w:rsid w:val="002A353B"/>
    <w:rsid w:val="002A36DD"/>
    <w:rsid w:val="002A7F66"/>
    <w:rsid w:val="002B5D32"/>
    <w:rsid w:val="002B6F1E"/>
    <w:rsid w:val="002B7BDE"/>
    <w:rsid w:val="002E7440"/>
    <w:rsid w:val="002F32B1"/>
    <w:rsid w:val="002F6994"/>
    <w:rsid w:val="002F6BD2"/>
    <w:rsid w:val="00300344"/>
    <w:rsid w:val="00311699"/>
    <w:rsid w:val="003120FF"/>
    <w:rsid w:val="00326236"/>
    <w:rsid w:val="00326699"/>
    <w:rsid w:val="003307FE"/>
    <w:rsid w:val="00332FD7"/>
    <w:rsid w:val="003331E3"/>
    <w:rsid w:val="003340CC"/>
    <w:rsid w:val="003376C7"/>
    <w:rsid w:val="00341AE6"/>
    <w:rsid w:val="003447D4"/>
    <w:rsid w:val="0034627E"/>
    <w:rsid w:val="0035061F"/>
    <w:rsid w:val="0035082C"/>
    <w:rsid w:val="00352596"/>
    <w:rsid w:val="00354E89"/>
    <w:rsid w:val="0037767A"/>
    <w:rsid w:val="0038341D"/>
    <w:rsid w:val="00386085"/>
    <w:rsid w:val="00387099"/>
    <w:rsid w:val="00395DA2"/>
    <w:rsid w:val="003A3386"/>
    <w:rsid w:val="003A3CC7"/>
    <w:rsid w:val="003A4023"/>
    <w:rsid w:val="003A4AFD"/>
    <w:rsid w:val="003B160E"/>
    <w:rsid w:val="003B3BF6"/>
    <w:rsid w:val="003B6277"/>
    <w:rsid w:val="003C24DA"/>
    <w:rsid w:val="003C48C7"/>
    <w:rsid w:val="003C65F4"/>
    <w:rsid w:val="003D342A"/>
    <w:rsid w:val="003E15DB"/>
    <w:rsid w:val="003E3F13"/>
    <w:rsid w:val="003E4BA6"/>
    <w:rsid w:val="003F417C"/>
    <w:rsid w:val="0040039C"/>
    <w:rsid w:val="00401E91"/>
    <w:rsid w:val="004025D0"/>
    <w:rsid w:val="0040447A"/>
    <w:rsid w:val="00405893"/>
    <w:rsid w:val="00413692"/>
    <w:rsid w:val="00421EBF"/>
    <w:rsid w:val="004253AA"/>
    <w:rsid w:val="004262C5"/>
    <w:rsid w:val="00426CF5"/>
    <w:rsid w:val="00434A65"/>
    <w:rsid w:val="004364B5"/>
    <w:rsid w:val="0043719F"/>
    <w:rsid w:val="00437A4C"/>
    <w:rsid w:val="00437F1A"/>
    <w:rsid w:val="00441365"/>
    <w:rsid w:val="004427F5"/>
    <w:rsid w:val="0044282C"/>
    <w:rsid w:val="00452B17"/>
    <w:rsid w:val="0045649C"/>
    <w:rsid w:val="00482B3E"/>
    <w:rsid w:val="004909D6"/>
    <w:rsid w:val="00493EAF"/>
    <w:rsid w:val="00496850"/>
    <w:rsid w:val="004A1839"/>
    <w:rsid w:val="004A5D14"/>
    <w:rsid w:val="004B4450"/>
    <w:rsid w:val="004C44CD"/>
    <w:rsid w:val="004D177C"/>
    <w:rsid w:val="004D23D0"/>
    <w:rsid w:val="004D246D"/>
    <w:rsid w:val="004E3714"/>
    <w:rsid w:val="004E66BC"/>
    <w:rsid w:val="004F1DBE"/>
    <w:rsid w:val="004F4C98"/>
    <w:rsid w:val="004F7556"/>
    <w:rsid w:val="0050156A"/>
    <w:rsid w:val="00506EFF"/>
    <w:rsid w:val="00514A5C"/>
    <w:rsid w:val="00523650"/>
    <w:rsid w:val="00523AC6"/>
    <w:rsid w:val="00524FEB"/>
    <w:rsid w:val="00531413"/>
    <w:rsid w:val="00540FD4"/>
    <w:rsid w:val="00542470"/>
    <w:rsid w:val="00547EAE"/>
    <w:rsid w:val="00550A7A"/>
    <w:rsid w:val="00555592"/>
    <w:rsid w:val="00566B75"/>
    <w:rsid w:val="005709D5"/>
    <w:rsid w:val="005718EF"/>
    <w:rsid w:val="00580EF7"/>
    <w:rsid w:val="005834EC"/>
    <w:rsid w:val="005836D3"/>
    <w:rsid w:val="005A4EF1"/>
    <w:rsid w:val="005A6225"/>
    <w:rsid w:val="005A7223"/>
    <w:rsid w:val="005A7BD7"/>
    <w:rsid w:val="005B06C0"/>
    <w:rsid w:val="005B3C48"/>
    <w:rsid w:val="005B419F"/>
    <w:rsid w:val="005B5B18"/>
    <w:rsid w:val="005B60B4"/>
    <w:rsid w:val="005C2035"/>
    <w:rsid w:val="005D3DEB"/>
    <w:rsid w:val="005D50C3"/>
    <w:rsid w:val="005D77E2"/>
    <w:rsid w:val="005E3D5F"/>
    <w:rsid w:val="005E5283"/>
    <w:rsid w:val="005E598F"/>
    <w:rsid w:val="005E7642"/>
    <w:rsid w:val="005F38FB"/>
    <w:rsid w:val="005F3FB2"/>
    <w:rsid w:val="00613784"/>
    <w:rsid w:val="006175CA"/>
    <w:rsid w:val="00626CA2"/>
    <w:rsid w:val="006306CE"/>
    <w:rsid w:val="00633B61"/>
    <w:rsid w:val="00635FDE"/>
    <w:rsid w:val="00642237"/>
    <w:rsid w:val="006455E6"/>
    <w:rsid w:val="00647918"/>
    <w:rsid w:val="00660656"/>
    <w:rsid w:val="006650D1"/>
    <w:rsid w:val="00665356"/>
    <w:rsid w:val="00673103"/>
    <w:rsid w:val="00676951"/>
    <w:rsid w:val="00681E09"/>
    <w:rsid w:val="0068484E"/>
    <w:rsid w:val="00690277"/>
    <w:rsid w:val="00691E32"/>
    <w:rsid w:val="006936F7"/>
    <w:rsid w:val="006961DF"/>
    <w:rsid w:val="006A0774"/>
    <w:rsid w:val="006A1C7C"/>
    <w:rsid w:val="006A1EB3"/>
    <w:rsid w:val="006A5B15"/>
    <w:rsid w:val="006C213B"/>
    <w:rsid w:val="006C478D"/>
    <w:rsid w:val="006C68AD"/>
    <w:rsid w:val="006D7200"/>
    <w:rsid w:val="006E2876"/>
    <w:rsid w:val="006E50A6"/>
    <w:rsid w:val="006F2083"/>
    <w:rsid w:val="006F6BAE"/>
    <w:rsid w:val="00701789"/>
    <w:rsid w:val="0070202A"/>
    <w:rsid w:val="00707BA3"/>
    <w:rsid w:val="007102A2"/>
    <w:rsid w:val="00712B0D"/>
    <w:rsid w:val="00720100"/>
    <w:rsid w:val="007327EF"/>
    <w:rsid w:val="00733A5C"/>
    <w:rsid w:val="0074125F"/>
    <w:rsid w:val="00742191"/>
    <w:rsid w:val="007452F3"/>
    <w:rsid w:val="00745D89"/>
    <w:rsid w:val="00746342"/>
    <w:rsid w:val="00750822"/>
    <w:rsid w:val="00752461"/>
    <w:rsid w:val="0075283A"/>
    <w:rsid w:val="00757F21"/>
    <w:rsid w:val="0076285C"/>
    <w:rsid w:val="00767E38"/>
    <w:rsid w:val="00774FC4"/>
    <w:rsid w:val="007811F8"/>
    <w:rsid w:val="00791887"/>
    <w:rsid w:val="00795B8A"/>
    <w:rsid w:val="007A0606"/>
    <w:rsid w:val="007A32C9"/>
    <w:rsid w:val="007B4AD0"/>
    <w:rsid w:val="007C11FC"/>
    <w:rsid w:val="007C173A"/>
    <w:rsid w:val="007C4955"/>
    <w:rsid w:val="007D0DD6"/>
    <w:rsid w:val="007D1091"/>
    <w:rsid w:val="007D552D"/>
    <w:rsid w:val="007D6DB8"/>
    <w:rsid w:val="007E1A7E"/>
    <w:rsid w:val="007F3AC4"/>
    <w:rsid w:val="007F4401"/>
    <w:rsid w:val="007F7347"/>
    <w:rsid w:val="007F7CF8"/>
    <w:rsid w:val="00810EED"/>
    <w:rsid w:val="00820395"/>
    <w:rsid w:val="00821459"/>
    <w:rsid w:val="00821657"/>
    <w:rsid w:val="00827599"/>
    <w:rsid w:val="0082775A"/>
    <w:rsid w:val="00831F6D"/>
    <w:rsid w:val="008330E6"/>
    <w:rsid w:val="0083690B"/>
    <w:rsid w:val="00837AF6"/>
    <w:rsid w:val="0084251A"/>
    <w:rsid w:val="00843794"/>
    <w:rsid w:val="008451F3"/>
    <w:rsid w:val="00847314"/>
    <w:rsid w:val="00872B0B"/>
    <w:rsid w:val="00880414"/>
    <w:rsid w:val="008824B7"/>
    <w:rsid w:val="00883356"/>
    <w:rsid w:val="00884E92"/>
    <w:rsid w:val="008A78AB"/>
    <w:rsid w:val="008B0CB5"/>
    <w:rsid w:val="008C436B"/>
    <w:rsid w:val="008D1382"/>
    <w:rsid w:val="008D59BA"/>
    <w:rsid w:val="008E68BE"/>
    <w:rsid w:val="008F26B2"/>
    <w:rsid w:val="00900E6B"/>
    <w:rsid w:val="00903795"/>
    <w:rsid w:val="00911C06"/>
    <w:rsid w:val="00914FB2"/>
    <w:rsid w:val="009177E3"/>
    <w:rsid w:val="00922972"/>
    <w:rsid w:val="00923A6A"/>
    <w:rsid w:val="009267D8"/>
    <w:rsid w:val="009428C0"/>
    <w:rsid w:val="00954953"/>
    <w:rsid w:val="00954DE9"/>
    <w:rsid w:val="0095576A"/>
    <w:rsid w:val="009647D3"/>
    <w:rsid w:val="0097235E"/>
    <w:rsid w:val="009811D0"/>
    <w:rsid w:val="009818E1"/>
    <w:rsid w:val="009A15DD"/>
    <w:rsid w:val="009A3260"/>
    <w:rsid w:val="009A507E"/>
    <w:rsid w:val="009A5A70"/>
    <w:rsid w:val="009B6E7D"/>
    <w:rsid w:val="009C4949"/>
    <w:rsid w:val="009C4BF6"/>
    <w:rsid w:val="009C5707"/>
    <w:rsid w:val="009D1D36"/>
    <w:rsid w:val="009D51D2"/>
    <w:rsid w:val="009E2492"/>
    <w:rsid w:val="009E6CB1"/>
    <w:rsid w:val="009F1865"/>
    <w:rsid w:val="00A01602"/>
    <w:rsid w:val="00A03FB5"/>
    <w:rsid w:val="00A0737A"/>
    <w:rsid w:val="00A11AEA"/>
    <w:rsid w:val="00A2644D"/>
    <w:rsid w:val="00A30192"/>
    <w:rsid w:val="00A31B73"/>
    <w:rsid w:val="00A408BB"/>
    <w:rsid w:val="00A46399"/>
    <w:rsid w:val="00A542E5"/>
    <w:rsid w:val="00A567A1"/>
    <w:rsid w:val="00A64BA3"/>
    <w:rsid w:val="00A74848"/>
    <w:rsid w:val="00A75620"/>
    <w:rsid w:val="00A77285"/>
    <w:rsid w:val="00A804C4"/>
    <w:rsid w:val="00A8549C"/>
    <w:rsid w:val="00A91DA6"/>
    <w:rsid w:val="00A96B3C"/>
    <w:rsid w:val="00AA24A3"/>
    <w:rsid w:val="00AA48EC"/>
    <w:rsid w:val="00AA6927"/>
    <w:rsid w:val="00AB0DE1"/>
    <w:rsid w:val="00AB2406"/>
    <w:rsid w:val="00AB6776"/>
    <w:rsid w:val="00AC00C7"/>
    <w:rsid w:val="00AC4C21"/>
    <w:rsid w:val="00AC705D"/>
    <w:rsid w:val="00AD1DD0"/>
    <w:rsid w:val="00AD6079"/>
    <w:rsid w:val="00AD6BA1"/>
    <w:rsid w:val="00AD6BDC"/>
    <w:rsid w:val="00AE15EA"/>
    <w:rsid w:val="00AE6B74"/>
    <w:rsid w:val="00AF003B"/>
    <w:rsid w:val="00AF5EDD"/>
    <w:rsid w:val="00B01C60"/>
    <w:rsid w:val="00B04315"/>
    <w:rsid w:val="00B139A3"/>
    <w:rsid w:val="00B21D00"/>
    <w:rsid w:val="00B2305E"/>
    <w:rsid w:val="00B23568"/>
    <w:rsid w:val="00B27F33"/>
    <w:rsid w:val="00B30C12"/>
    <w:rsid w:val="00B33314"/>
    <w:rsid w:val="00B34821"/>
    <w:rsid w:val="00B35435"/>
    <w:rsid w:val="00B369C6"/>
    <w:rsid w:val="00B41883"/>
    <w:rsid w:val="00B52895"/>
    <w:rsid w:val="00B55720"/>
    <w:rsid w:val="00B61527"/>
    <w:rsid w:val="00B641B0"/>
    <w:rsid w:val="00B670BE"/>
    <w:rsid w:val="00B6749C"/>
    <w:rsid w:val="00B67624"/>
    <w:rsid w:val="00B71DF5"/>
    <w:rsid w:val="00B76812"/>
    <w:rsid w:val="00B776E3"/>
    <w:rsid w:val="00B819B2"/>
    <w:rsid w:val="00B91C81"/>
    <w:rsid w:val="00B95ADA"/>
    <w:rsid w:val="00B973DC"/>
    <w:rsid w:val="00BA04E0"/>
    <w:rsid w:val="00BA3094"/>
    <w:rsid w:val="00BA346E"/>
    <w:rsid w:val="00BA6843"/>
    <w:rsid w:val="00BB0762"/>
    <w:rsid w:val="00BB15AC"/>
    <w:rsid w:val="00BB6DE8"/>
    <w:rsid w:val="00BC1605"/>
    <w:rsid w:val="00BC5A3F"/>
    <w:rsid w:val="00BD31C0"/>
    <w:rsid w:val="00BE29B5"/>
    <w:rsid w:val="00BE473F"/>
    <w:rsid w:val="00BE5688"/>
    <w:rsid w:val="00BF0DC7"/>
    <w:rsid w:val="00BF2214"/>
    <w:rsid w:val="00BF48F6"/>
    <w:rsid w:val="00C014CE"/>
    <w:rsid w:val="00C1341B"/>
    <w:rsid w:val="00C16F08"/>
    <w:rsid w:val="00C178A1"/>
    <w:rsid w:val="00C2703C"/>
    <w:rsid w:val="00C27A16"/>
    <w:rsid w:val="00C301D6"/>
    <w:rsid w:val="00C4063A"/>
    <w:rsid w:val="00C44054"/>
    <w:rsid w:val="00C443CC"/>
    <w:rsid w:val="00C445C9"/>
    <w:rsid w:val="00C4713E"/>
    <w:rsid w:val="00C503C4"/>
    <w:rsid w:val="00C50B2D"/>
    <w:rsid w:val="00C52C75"/>
    <w:rsid w:val="00C542F9"/>
    <w:rsid w:val="00C5513D"/>
    <w:rsid w:val="00C60E08"/>
    <w:rsid w:val="00C65B2E"/>
    <w:rsid w:val="00C65C36"/>
    <w:rsid w:val="00C73677"/>
    <w:rsid w:val="00C808CF"/>
    <w:rsid w:val="00C82D20"/>
    <w:rsid w:val="00C847B5"/>
    <w:rsid w:val="00C85594"/>
    <w:rsid w:val="00C9267D"/>
    <w:rsid w:val="00C948BB"/>
    <w:rsid w:val="00C94E8F"/>
    <w:rsid w:val="00CA3480"/>
    <w:rsid w:val="00CA6139"/>
    <w:rsid w:val="00CA6835"/>
    <w:rsid w:val="00CB17EF"/>
    <w:rsid w:val="00CB4B95"/>
    <w:rsid w:val="00CB5446"/>
    <w:rsid w:val="00CB7CAB"/>
    <w:rsid w:val="00CC09A3"/>
    <w:rsid w:val="00CC1E71"/>
    <w:rsid w:val="00CC4384"/>
    <w:rsid w:val="00CC4BB8"/>
    <w:rsid w:val="00CD4B5B"/>
    <w:rsid w:val="00CE19EE"/>
    <w:rsid w:val="00CE4118"/>
    <w:rsid w:val="00CE4B3B"/>
    <w:rsid w:val="00CE7034"/>
    <w:rsid w:val="00CF2395"/>
    <w:rsid w:val="00CF4739"/>
    <w:rsid w:val="00D01139"/>
    <w:rsid w:val="00D05915"/>
    <w:rsid w:val="00D05D06"/>
    <w:rsid w:val="00D111AC"/>
    <w:rsid w:val="00D14E8F"/>
    <w:rsid w:val="00D22892"/>
    <w:rsid w:val="00D22A68"/>
    <w:rsid w:val="00D2383D"/>
    <w:rsid w:val="00D36E35"/>
    <w:rsid w:val="00D47450"/>
    <w:rsid w:val="00D50267"/>
    <w:rsid w:val="00D50432"/>
    <w:rsid w:val="00D53705"/>
    <w:rsid w:val="00D55611"/>
    <w:rsid w:val="00D5767E"/>
    <w:rsid w:val="00D65E65"/>
    <w:rsid w:val="00D664E0"/>
    <w:rsid w:val="00D70013"/>
    <w:rsid w:val="00D740E3"/>
    <w:rsid w:val="00D85291"/>
    <w:rsid w:val="00D85511"/>
    <w:rsid w:val="00D92008"/>
    <w:rsid w:val="00DA69D7"/>
    <w:rsid w:val="00DC37B4"/>
    <w:rsid w:val="00DC7D5F"/>
    <w:rsid w:val="00DD04DD"/>
    <w:rsid w:val="00DD546C"/>
    <w:rsid w:val="00DE0108"/>
    <w:rsid w:val="00DE6A63"/>
    <w:rsid w:val="00DF08A0"/>
    <w:rsid w:val="00E00469"/>
    <w:rsid w:val="00E04AB9"/>
    <w:rsid w:val="00E146DB"/>
    <w:rsid w:val="00E16B18"/>
    <w:rsid w:val="00E22AC7"/>
    <w:rsid w:val="00E26F5B"/>
    <w:rsid w:val="00E26F60"/>
    <w:rsid w:val="00E26FF9"/>
    <w:rsid w:val="00E34B80"/>
    <w:rsid w:val="00E35876"/>
    <w:rsid w:val="00E405DC"/>
    <w:rsid w:val="00E4391B"/>
    <w:rsid w:val="00E617E7"/>
    <w:rsid w:val="00E63B48"/>
    <w:rsid w:val="00E672FE"/>
    <w:rsid w:val="00E67792"/>
    <w:rsid w:val="00E751AA"/>
    <w:rsid w:val="00EA4544"/>
    <w:rsid w:val="00EB4B04"/>
    <w:rsid w:val="00EC25A0"/>
    <w:rsid w:val="00EC4E48"/>
    <w:rsid w:val="00ED0CCF"/>
    <w:rsid w:val="00ED7321"/>
    <w:rsid w:val="00EE6758"/>
    <w:rsid w:val="00F01840"/>
    <w:rsid w:val="00F04C3C"/>
    <w:rsid w:val="00F10A7F"/>
    <w:rsid w:val="00F1347F"/>
    <w:rsid w:val="00F1720B"/>
    <w:rsid w:val="00F319B2"/>
    <w:rsid w:val="00F41BEA"/>
    <w:rsid w:val="00F41D78"/>
    <w:rsid w:val="00F45DCA"/>
    <w:rsid w:val="00F51893"/>
    <w:rsid w:val="00F53CC2"/>
    <w:rsid w:val="00F60555"/>
    <w:rsid w:val="00F6254E"/>
    <w:rsid w:val="00F626E9"/>
    <w:rsid w:val="00F7128B"/>
    <w:rsid w:val="00F74418"/>
    <w:rsid w:val="00F77E57"/>
    <w:rsid w:val="00F83399"/>
    <w:rsid w:val="00F83497"/>
    <w:rsid w:val="00F84B3D"/>
    <w:rsid w:val="00FA0CE7"/>
    <w:rsid w:val="00FA3076"/>
    <w:rsid w:val="00FB19C7"/>
    <w:rsid w:val="00FB3430"/>
    <w:rsid w:val="00FB4269"/>
    <w:rsid w:val="00FD44C0"/>
    <w:rsid w:val="00FE0BD9"/>
    <w:rsid w:val="00FE530C"/>
    <w:rsid w:val="00FF0907"/>
    <w:rsid w:val="00FF2942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5592"/>
    <w:pPr>
      <w:ind w:left="720"/>
      <w:contextualSpacing/>
    </w:pPr>
  </w:style>
  <w:style w:type="paragraph" w:styleId="Bezproreda">
    <w:name w:val="No Spacing"/>
    <w:uiPriority w:val="1"/>
    <w:qFormat/>
    <w:rsid w:val="00DF08A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E8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437A4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7A4C"/>
    <w:rPr>
      <w:color w:val="800080"/>
      <w:u w:val="single"/>
    </w:rPr>
  </w:style>
  <w:style w:type="paragraph" w:customStyle="1" w:styleId="xl68">
    <w:name w:val="xl68"/>
    <w:basedOn w:val="Normal"/>
    <w:rsid w:val="00437A4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437A4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437A4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437A4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437A4C"/>
    <w:pPr>
      <w:shd w:val="clear" w:color="000000" w:fill="1F497D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3">
    <w:name w:val="xl73"/>
    <w:basedOn w:val="Normal"/>
    <w:rsid w:val="00437A4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437A4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437A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437A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43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437A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437A4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437A4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437A4C"/>
    <w:pP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437A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437A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437A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437A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437A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437A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437A4C"/>
    <w:pP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437A4C"/>
    <w:pPr>
      <w:shd w:val="clear" w:color="000000" w:fill="1F49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91">
    <w:name w:val="xl91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2">
    <w:name w:val="xl92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437A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5">
    <w:name w:val="xl95"/>
    <w:basedOn w:val="Normal"/>
    <w:rsid w:val="00437A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437A4C"/>
    <w:pPr>
      <w:shd w:val="clear" w:color="000000" w:fill="1F49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97">
    <w:name w:val="xl97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8">
    <w:name w:val="xl98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9">
    <w:name w:val="xl99"/>
    <w:basedOn w:val="Normal"/>
    <w:rsid w:val="00437A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437A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1">
    <w:name w:val="xl101"/>
    <w:basedOn w:val="Normal"/>
    <w:rsid w:val="0043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43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2">
    <w:name w:val="xl102"/>
    <w:basedOn w:val="Normal"/>
    <w:rsid w:val="00436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436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436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05">
    <w:name w:val="xl105"/>
    <w:basedOn w:val="Normal"/>
    <w:rsid w:val="00436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66">
    <w:name w:val="xl66"/>
    <w:basedOn w:val="Normal"/>
    <w:rsid w:val="00200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200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6">
    <w:name w:val="xl106"/>
    <w:basedOn w:val="Normal"/>
    <w:rsid w:val="002008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2008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8">
    <w:name w:val="xl108"/>
    <w:basedOn w:val="Normal"/>
    <w:rsid w:val="00200827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2008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20082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2008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D664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664E0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C4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4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5592"/>
    <w:pPr>
      <w:ind w:left="720"/>
      <w:contextualSpacing/>
    </w:pPr>
  </w:style>
  <w:style w:type="paragraph" w:styleId="Bezproreda">
    <w:name w:val="No Spacing"/>
    <w:uiPriority w:val="1"/>
    <w:qFormat/>
    <w:rsid w:val="00DF08A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E8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437A4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7A4C"/>
    <w:rPr>
      <w:color w:val="800080"/>
      <w:u w:val="single"/>
    </w:rPr>
  </w:style>
  <w:style w:type="paragraph" w:customStyle="1" w:styleId="xl68">
    <w:name w:val="xl68"/>
    <w:basedOn w:val="Normal"/>
    <w:rsid w:val="00437A4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437A4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437A4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437A4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437A4C"/>
    <w:pPr>
      <w:shd w:val="clear" w:color="000000" w:fill="1F497D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3">
    <w:name w:val="xl73"/>
    <w:basedOn w:val="Normal"/>
    <w:rsid w:val="00437A4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437A4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437A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437A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43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437A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437A4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437A4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437A4C"/>
    <w:pP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437A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437A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437A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437A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437A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437A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437A4C"/>
    <w:pP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437A4C"/>
    <w:pPr>
      <w:shd w:val="clear" w:color="000000" w:fill="1F49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91">
    <w:name w:val="xl91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2">
    <w:name w:val="xl92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437A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5">
    <w:name w:val="xl95"/>
    <w:basedOn w:val="Normal"/>
    <w:rsid w:val="00437A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437A4C"/>
    <w:pPr>
      <w:shd w:val="clear" w:color="000000" w:fill="1F49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97">
    <w:name w:val="xl97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8">
    <w:name w:val="xl98"/>
    <w:basedOn w:val="Normal"/>
    <w:rsid w:val="00437A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9">
    <w:name w:val="xl99"/>
    <w:basedOn w:val="Normal"/>
    <w:rsid w:val="00437A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437A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1">
    <w:name w:val="xl101"/>
    <w:basedOn w:val="Normal"/>
    <w:rsid w:val="0043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43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2">
    <w:name w:val="xl102"/>
    <w:basedOn w:val="Normal"/>
    <w:rsid w:val="00436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436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436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05">
    <w:name w:val="xl105"/>
    <w:basedOn w:val="Normal"/>
    <w:rsid w:val="00436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66">
    <w:name w:val="xl66"/>
    <w:basedOn w:val="Normal"/>
    <w:rsid w:val="00200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200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6">
    <w:name w:val="xl106"/>
    <w:basedOn w:val="Normal"/>
    <w:rsid w:val="002008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2008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8">
    <w:name w:val="xl108"/>
    <w:basedOn w:val="Normal"/>
    <w:rsid w:val="00200827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2008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20082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2008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D664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664E0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C4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4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70FA-E31C-4257-9413-217FD8F6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23</Pages>
  <Words>6751</Words>
  <Characters>38481</Characters>
  <Application>Microsoft Office Word</Application>
  <DocSecurity>0</DocSecurity>
  <Lines>320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114</cp:revision>
  <cp:lastPrinted>2026-03-25T10:49:00Z</cp:lastPrinted>
  <dcterms:created xsi:type="dcterms:W3CDTF">2026-03-06T08:50:00Z</dcterms:created>
  <dcterms:modified xsi:type="dcterms:W3CDTF">2026-03-27T06:34:00Z</dcterms:modified>
</cp:coreProperties>
</file>